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AF0D298" w14:textId="77777777" w:rsidR="00FE37DB" w:rsidRDefault="00FE37DB" w:rsidP="00FE37DB">
      <w:pPr>
        <w:spacing w:before="120" w:after="360"/>
        <w:contextualSpacing/>
        <w:jc w:val="center"/>
        <w:rPr>
          <w:rFonts w:eastAsia="Arial" w:cs="Arial"/>
          <w:b/>
          <w:bCs/>
          <w:spacing w:val="-10"/>
          <w:kern w:val="28"/>
          <w:sz w:val="32"/>
          <w:szCs w:val="32"/>
        </w:rPr>
      </w:pPr>
      <w:r w:rsidRPr="00FE37DB">
        <w:rPr>
          <w:rFonts w:eastAsia="Arial" w:cs="Arial"/>
          <w:b/>
          <w:bCs/>
          <w:spacing w:val="-10"/>
          <w:kern w:val="28"/>
          <w:sz w:val="32"/>
          <w:szCs w:val="32"/>
        </w:rPr>
        <w:t xml:space="preserve">Online supplementary file 4:    </w:t>
      </w:r>
      <w:r>
        <w:rPr>
          <w:rFonts w:eastAsia="Arial" w:cs="Arial"/>
          <w:b/>
          <w:bCs/>
          <w:spacing w:val="-10"/>
          <w:kern w:val="28"/>
          <w:sz w:val="32"/>
          <w:szCs w:val="32"/>
        </w:rPr>
        <w:t>C</w:t>
      </w:r>
      <w:r w:rsidRPr="69645A7F">
        <w:rPr>
          <w:rFonts w:eastAsia="Arial" w:cs="Arial"/>
          <w:b/>
          <w:bCs/>
          <w:spacing w:val="-10"/>
          <w:kern w:val="28"/>
          <w:sz w:val="32"/>
          <w:szCs w:val="32"/>
        </w:rPr>
        <w:t>ost and health benefits of diagnosis of individuals with familial hypercholesterolaemia in the long term</w:t>
      </w:r>
    </w:p>
    <w:p w14:paraId="73CBDC12" w14:textId="77777777" w:rsidR="00FE37DB" w:rsidRPr="00A20A17" w:rsidRDefault="00FE37DB" w:rsidP="00FE37DB">
      <w:pPr>
        <w:spacing w:before="120" w:after="360"/>
        <w:contextualSpacing/>
        <w:jc w:val="center"/>
        <w:rPr>
          <w:rFonts w:eastAsia="Arial" w:cs="Arial"/>
          <w:b/>
          <w:bCs/>
          <w:spacing w:val="-10"/>
          <w:kern w:val="28"/>
          <w:sz w:val="32"/>
          <w:szCs w:val="32"/>
        </w:rPr>
      </w:pPr>
      <w:bookmarkStart w:id="0" w:name="_GoBack"/>
      <w:bookmarkEnd w:id="0"/>
    </w:p>
    <w:sdt>
      <w:sdtPr>
        <w:rPr>
          <w:rFonts w:ascii="Calibri" w:eastAsia="Calibri" w:hAnsi="Calibri" w:cs="Arial"/>
        </w:rPr>
        <w:id w:val="1521278245"/>
        <w:docPartObj>
          <w:docPartGallery w:val="Table of Contents"/>
          <w:docPartUnique/>
        </w:docPartObj>
      </w:sdtPr>
      <w:sdtEndPr>
        <w:rPr>
          <w:b/>
          <w:bCs/>
          <w:noProof/>
        </w:rPr>
      </w:sdtEndPr>
      <w:sdtContent>
        <w:p w14:paraId="6EC689FC" w14:textId="77777777" w:rsidR="00FE37DB" w:rsidRPr="00A20A17" w:rsidRDefault="00FE37DB" w:rsidP="00FE37DB">
          <w:pPr>
            <w:keepNext/>
            <w:keepLines/>
            <w:spacing w:before="240" w:after="0" w:line="259" w:lineRule="auto"/>
            <w:rPr>
              <w:rFonts w:ascii="Calibri Light" w:eastAsia="Calibri Light" w:hAnsi="Calibri Light" w:cs="Times New Roman"/>
              <w:color w:val="2F5496"/>
              <w:sz w:val="32"/>
              <w:szCs w:val="32"/>
              <w:lang w:val="en-US"/>
            </w:rPr>
          </w:pPr>
          <w:r w:rsidRPr="00A20A17">
            <w:rPr>
              <w:rFonts w:ascii="Calibri Light" w:eastAsia="Calibri Light" w:hAnsi="Calibri Light" w:cs="Times New Roman"/>
              <w:color w:val="2F5496"/>
              <w:sz w:val="32"/>
              <w:szCs w:val="32"/>
              <w:lang w:val="en-US"/>
            </w:rPr>
            <w:t>Contents</w:t>
          </w:r>
        </w:p>
        <w:p w14:paraId="51A874AB" w14:textId="77777777" w:rsidR="00FE37DB" w:rsidRPr="00A20A17" w:rsidRDefault="00FE37DB" w:rsidP="00FE37DB">
          <w:pPr>
            <w:tabs>
              <w:tab w:val="right" w:leader="dot" w:pos="9016"/>
            </w:tabs>
            <w:spacing w:before="120" w:after="100"/>
            <w:rPr>
              <w:rFonts w:ascii="Calibri" w:eastAsia="Calibri" w:hAnsi="Calibri" w:cs="Arial"/>
              <w:noProof/>
              <w:lang w:eastAsia="en-GB"/>
            </w:rPr>
          </w:pPr>
          <w:r w:rsidRPr="00A20A17">
            <w:rPr>
              <w:rFonts w:ascii="Calibri" w:eastAsia="Calibri" w:hAnsi="Calibri" w:cs="Arial"/>
            </w:rPr>
            <w:fldChar w:fldCharType="begin"/>
          </w:r>
          <w:r w:rsidRPr="00A20A17">
            <w:rPr>
              <w:rFonts w:ascii="Calibri" w:eastAsia="Calibri" w:hAnsi="Calibri" w:cs="Arial"/>
            </w:rPr>
            <w:instrText xml:space="preserve"> TOC \o "1-3" \h \z \u </w:instrText>
          </w:r>
          <w:r w:rsidRPr="00A20A17">
            <w:rPr>
              <w:rFonts w:ascii="Calibri" w:eastAsia="Calibri" w:hAnsi="Calibri" w:cs="Arial"/>
            </w:rPr>
            <w:fldChar w:fldCharType="separate"/>
          </w:r>
          <w:hyperlink w:anchor="_Toc73625970" w:history="1">
            <w:r w:rsidRPr="00A20A17">
              <w:rPr>
                <w:rFonts w:ascii="Calibri" w:eastAsia="Calibri" w:hAnsi="Calibri" w:cs="Arial"/>
                <w:noProof/>
                <w:color w:val="0563C1"/>
                <w:u w:val="single"/>
              </w:rPr>
              <w:t>Model structure</w:t>
            </w:r>
            <w:r w:rsidRPr="00A20A17">
              <w:rPr>
                <w:rFonts w:ascii="Calibri" w:eastAsia="Calibri" w:hAnsi="Calibri" w:cs="Arial"/>
                <w:noProof/>
                <w:webHidden/>
              </w:rPr>
              <w:tab/>
            </w:r>
            <w:r w:rsidRPr="00A20A17">
              <w:rPr>
                <w:rFonts w:ascii="Calibri" w:eastAsia="Calibri" w:hAnsi="Calibri" w:cs="Arial"/>
                <w:noProof/>
                <w:webHidden/>
              </w:rPr>
              <w:fldChar w:fldCharType="begin"/>
            </w:r>
            <w:r w:rsidRPr="00A20A17">
              <w:rPr>
                <w:rFonts w:ascii="Calibri" w:eastAsia="Calibri" w:hAnsi="Calibri" w:cs="Arial"/>
                <w:noProof/>
                <w:webHidden/>
              </w:rPr>
              <w:instrText xml:space="preserve"> PAGEREF _Toc73625970 \h </w:instrText>
            </w:r>
            <w:r w:rsidRPr="00A20A17">
              <w:rPr>
                <w:rFonts w:ascii="Calibri" w:eastAsia="Calibri" w:hAnsi="Calibri" w:cs="Arial"/>
                <w:noProof/>
                <w:webHidden/>
              </w:rPr>
            </w:r>
            <w:r w:rsidRPr="00A20A17">
              <w:rPr>
                <w:rFonts w:ascii="Calibri" w:eastAsia="Calibri" w:hAnsi="Calibri" w:cs="Arial"/>
                <w:noProof/>
                <w:webHidden/>
              </w:rPr>
              <w:fldChar w:fldCharType="separate"/>
            </w:r>
            <w:r w:rsidRPr="00A20A17">
              <w:rPr>
                <w:rFonts w:ascii="Calibri" w:eastAsia="Calibri" w:hAnsi="Calibri" w:cs="Arial"/>
                <w:noProof/>
                <w:webHidden/>
              </w:rPr>
              <w:t>2</w:t>
            </w:r>
            <w:r w:rsidRPr="00A20A17">
              <w:rPr>
                <w:rFonts w:ascii="Calibri" w:eastAsia="Calibri" w:hAnsi="Calibri" w:cs="Arial"/>
                <w:noProof/>
                <w:webHidden/>
              </w:rPr>
              <w:fldChar w:fldCharType="end"/>
            </w:r>
          </w:hyperlink>
        </w:p>
        <w:p w14:paraId="4690A228" w14:textId="77777777" w:rsidR="00FE37DB" w:rsidRPr="00A20A17" w:rsidRDefault="00FE37DB" w:rsidP="00FE37DB">
          <w:pPr>
            <w:tabs>
              <w:tab w:val="right" w:leader="dot" w:pos="9016"/>
            </w:tabs>
            <w:spacing w:before="120" w:after="100"/>
            <w:rPr>
              <w:rFonts w:ascii="Calibri" w:eastAsia="Calibri" w:hAnsi="Calibri" w:cs="Arial"/>
              <w:noProof/>
              <w:lang w:eastAsia="en-GB"/>
            </w:rPr>
          </w:pPr>
          <w:hyperlink w:anchor="_Toc73625971" w:history="1">
            <w:r w:rsidRPr="00A20A17">
              <w:rPr>
                <w:rFonts w:ascii="Calibri" w:eastAsia="Calibri" w:hAnsi="Calibri" w:cs="Arial"/>
                <w:noProof/>
                <w:color w:val="0563C1"/>
                <w:u w:val="single"/>
              </w:rPr>
              <w:t>Model inputs</w:t>
            </w:r>
            <w:r w:rsidRPr="00A20A17">
              <w:rPr>
                <w:rFonts w:ascii="Calibri" w:eastAsia="Calibri" w:hAnsi="Calibri" w:cs="Arial"/>
                <w:noProof/>
                <w:webHidden/>
              </w:rPr>
              <w:tab/>
            </w:r>
            <w:r w:rsidRPr="00A20A17">
              <w:rPr>
                <w:rFonts w:ascii="Calibri" w:eastAsia="Calibri" w:hAnsi="Calibri" w:cs="Arial"/>
                <w:noProof/>
                <w:webHidden/>
              </w:rPr>
              <w:fldChar w:fldCharType="begin"/>
            </w:r>
            <w:r w:rsidRPr="00A20A17">
              <w:rPr>
                <w:rFonts w:ascii="Calibri" w:eastAsia="Calibri" w:hAnsi="Calibri" w:cs="Arial"/>
                <w:noProof/>
                <w:webHidden/>
              </w:rPr>
              <w:instrText xml:space="preserve"> PAGEREF _Toc73625971 \h </w:instrText>
            </w:r>
            <w:r w:rsidRPr="00A20A17">
              <w:rPr>
                <w:rFonts w:ascii="Calibri" w:eastAsia="Calibri" w:hAnsi="Calibri" w:cs="Arial"/>
                <w:noProof/>
                <w:webHidden/>
              </w:rPr>
            </w:r>
            <w:r w:rsidRPr="00A20A17">
              <w:rPr>
                <w:rFonts w:ascii="Calibri" w:eastAsia="Calibri" w:hAnsi="Calibri" w:cs="Arial"/>
                <w:noProof/>
                <w:webHidden/>
              </w:rPr>
              <w:fldChar w:fldCharType="separate"/>
            </w:r>
            <w:r w:rsidRPr="00A20A17">
              <w:rPr>
                <w:rFonts w:ascii="Calibri" w:eastAsia="Calibri" w:hAnsi="Calibri" w:cs="Arial"/>
                <w:noProof/>
                <w:webHidden/>
              </w:rPr>
              <w:t>2</w:t>
            </w:r>
            <w:r w:rsidRPr="00A20A17">
              <w:rPr>
                <w:rFonts w:ascii="Calibri" w:eastAsia="Calibri" w:hAnsi="Calibri" w:cs="Arial"/>
                <w:noProof/>
                <w:webHidden/>
              </w:rPr>
              <w:fldChar w:fldCharType="end"/>
            </w:r>
          </w:hyperlink>
        </w:p>
        <w:p w14:paraId="35A9B0CC" w14:textId="77777777" w:rsidR="00FE37DB" w:rsidRPr="00A20A17" w:rsidRDefault="00FE37DB" w:rsidP="00FE37DB">
          <w:pPr>
            <w:tabs>
              <w:tab w:val="right" w:leader="dot" w:pos="9016"/>
            </w:tabs>
            <w:spacing w:before="120" w:after="100"/>
            <w:ind w:left="220"/>
            <w:rPr>
              <w:rFonts w:ascii="Calibri" w:eastAsia="Calibri" w:hAnsi="Calibri" w:cs="Arial"/>
              <w:noProof/>
              <w:lang w:eastAsia="en-GB"/>
            </w:rPr>
          </w:pPr>
          <w:hyperlink w:anchor="_Toc73625972" w:history="1">
            <w:r w:rsidRPr="00A20A17">
              <w:rPr>
                <w:rFonts w:ascii="Calibri" w:eastAsia="Calibri" w:hAnsi="Calibri" w:cs="Arial"/>
                <w:noProof/>
                <w:color w:val="0563C1"/>
                <w:u w:val="single"/>
              </w:rPr>
              <w:t>Effect of diagnosis on cholesterol</w:t>
            </w:r>
            <w:r w:rsidRPr="00A20A17">
              <w:rPr>
                <w:rFonts w:ascii="Calibri" w:eastAsia="Calibri" w:hAnsi="Calibri" w:cs="Arial"/>
                <w:noProof/>
                <w:webHidden/>
              </w:rPr>
              <w:tab/>
            </w:r>
            <w:r w:rsidRPr="00A20A17">
              <w:rPr>
                <w:rFonts w:ascii="Calibri" w:eastAsia="Calibri" w:hAnsi="Calibri" w:cs="Arial"/>
                <w:noProof/>
                <w:webHidden/>
              </w:rPr>
              <w:fldChar w:fldCharType="begin"/>
            </w:r>
            <w:r w:rsidRPr="00A20A17">
              <w:rPr>
                <w:rFonts w:ascii="Calibri" w:eastAsia="Calibri" w:hAnsi="Calibri" w:cs="Arial"/>
                <w:noProof/>
                <w:webHidden/>
              </w:rPr>
              <w:instrText xml:space="preserve"> PAGEREF _Toc73625972 \h </w:instrText>
            </w:r>
            <w:r w:rsidRPr="00A20A17">
              <w:rPr>
                <w:rFonts w:ascii="Calibri" w:eastAsia="Calibri" w:hAnsi="Calibri" w:cs="Arial"/>
                <w:noProof/>
                <w:webHidden/>
              </w:rPr>
            </w:r>
            <w:r w:rsidRPr="00A20A17">
              <w:rPr>
                <w:rFonts w:ascii="Calibri" w:eastAsia="Calibri" w:hAnsi="Calibri" w:cs="Arial"/>
                <w:noProof/>
                <w:webHidden/>
              </w:rPr>
              <w:fldChar w:fldCharType="separate"/>
            </w:r>
            <w:r w:rsidRPr="00A20A17">
              <w:rPr>
                <w:rFonts w:ascii="Calibri" w:eastAsia="Calibri" w:hAnsi="Calibri" w:cs="Arial"/>
                <w:noProof/>
                <w:webHidden/>
              </w:rPr>
              <w:t>2</w:t>
            </w:r>
            <w:r w:rsidRPr="00A20A17">
              <w:rPr>
                <w:rFonts w:ascii="Calibri" w:eastAsia="Calibri" w:hAnsi="Calibri" w:cs="Arial"/>
                <w:noProof/>
                <w:webHidden/>
              </w:rPr>
              <w:fldChar w:fldCharType="end"/>
            </w:r>
          </w:hyperlink>
        </w:p>
        <w:p w14:paraId="49F05AE6" w14:textId="77777777" w:rsidR="00FE37DB" w:rsidRPr="00A20A17" w:rsidRDefault="00FE37DB" w:rsidP="00FE37DB">
          <w:pPr>
            <w:tabs>
              <w:tab w:val="right" w:leader="dot" w:pos="9016"/>
            </w:tabs>
            <w:spacing w:before="120" w:after="100"/>
            <w:ind w:left="220"/>
            <w:rPr>
              <w:rFonts w:ascii="Calibri" w:eastAsia="Calibri" w:hAnsi="Calibri" w:cs="Arial"/>
              <w:noProof/>
              <w:lang w:eastAsia="en-GB"/>
            </w:rPr>
          </w:pPr>
          <w:hyperlink w:anchor="_Toc73625973" w:history="1">
            <w:r w:rsidRPr="00A20A17">
              <w:rPr>
                <w:rFonts w:ascii="Calibri" w:eastAsia="Calibri" w:hAnsi="Calibri" w:cs="Arial"/>
                <w:noProof/>
                <w:color w:val="0563C1"/>
                <w:u w:val="single"/>
              </w:rPr>
              <w:t>Risk of first major cardiovascular event</w:t>
            </w:r>
            <w:r w:rsidRPr="00A20A17">
              <w:rPr>
                <w:rFonts w:ascii="Calibri" w:eastAsia="Calibri" w:hAnsi="Calibri" w:cs="Arial"/>
                <w:noProof/>
                <w:webHidden/>
              </w:rPr>
              <w:tab/>
            </w:r>
            <w:r w:rsidRPr="00A20A17">
              <w:rPr>
                <w:rFonts w:ascii="Calibri" w:eastAsia="Calibri" w:hAnsi="Calibri" w:cs="Arial"/>
                <w:noProof/>
                <w:webHidden/>
              </w:rPr>
              <w:fldChar w:fldCharType="begin"/>
            </w:r>
            <w:r w:rsidRPr="00A20A17">
              <w:rPr>
                <w:rFonts w:ascii="Calibri" w:eastAsia="Calibri" w:hAnsi="Calibri" w:cs="Arial"/>
                <w:noProof/>
                <w:webHidden/>
              </w:rPr>
              <w:instrText xml:space="preserve"> PAGEREF _Toc73625973 \h </w:instrText>
            </w:r>
            <w:r w:rsidRPr="00A20A17">
              <w:rPr>
                <w:rFonts w:ascii="Calibri" w:eastAsia="Calibri" w:hAnsi="Calibri" w:cs="Arial"/>
                <w:noProof/>
                <w:webHidden/>
              </w:rPr>
            </w:r>
            <w:r w:rsidRPr="00A20A17">
              <w:rPr>
                <w:rFonts w:ascii="Calibri" w:eastAsia="Calibri" w:hAnsi="Calibri" w:cs="Arial"/>
                <w:noProof/>
                <w:webHidden/>
              </w:rPr>
              <w:fldChar w:fldCharType="separate"/>
            </w:r>
            <w:r w:rsidRPr="00A20A17">
              <w:rPr>
                <w:rFonts w:ascii="Calibri" w:eastAsia="Calibri" w:hAnsi="Calibri" w:cs="Arial"/>
                <w:noProof/>
                <w:webHidden/>
              </w:rPr>
              <w:t>2</w:t>
            </w:r>
            <w:r w:rsidRPr="00A20A17">
              <w:rPr>
                <w:rFonts w:ascii="Calibri" w:eastAsia="Calibri" w:hAnsi="Calibri" w:cs="Arial"/>
                <w:noProof/>
                <w:webHidden/>
              </w:rPr>
              <w:fldChar w:fldCharType="end"/>
            </w:r>
          </w:hyperlink>
        </w:p>
        <w:p w14:paraId="24DC0CC3" w14:textId="77777777" w:rsidR="00FE37DB" w:rsidRPr="00A20A17" w:rsidRDefault="00FE37DB" w:rsidP="00FE37DB">
          <w:pPr>
            <w:tabs>
              <w:tab w:val="right" w:leader="dot" w:pos="9016"/>
            </w:tabs>
            <w:spacing w:before="120" w:after="100"/>
            <w:ind w:left="220"/>
            <w:rPr>
              <w:rFonts w:ascii="Calibri" w:eastAsia="Calibri" w:hAnsi="Calibri" w:cs="Arial"/>
              <w:noProof/>
              <w:lang w:eastAsia="en-GB"/>
            </w:rPr>
          </w:pPr>
          <w:hyperlink w:anchor="_Toc73625974" w:history="1">
            <w:r w:rsidRPr="00A20A17">
              <w:rPr>
                <w:rFonts w:ascii="Calibri" w:eastAsia="Calibri" w:hAnsi="Calibri" w:cs="Arial"/>
                <w:noProof/>
                <w:color w:val="0563C1"/>
                <w:u w:val="single"/>
              </w:rPr>
              <w:t>Survival post-1</w:t>
            </w:r>
            <w:r w:rsidRPr="00A20A17">
              <w:rPr>
                <w:rFonts w:ascii="Calibri" w:eastAsia="Calibri" w:hAnsi="Calibri" w:cs="Arial"/>
                <w:noProof/>
                <w:color w:val="0563C1"/>
                <w:u w:val="single"/>
                <w:vertAlign w:val="superscript"/>
              </w:rPr>
              <w:t>st</w:t>
            </w:r>
            <w:r w:rsidRPr="00A20A17">
              <w:rPr>
                <w:rFonts w:ascii="Calibri" w:eastAsia="Calibri" w:hAnsi="Calibri" w:cs="Arial"/>
                <w:noProof/>
                <w:color w:val="0563C1"/>
                <w:u w:val="single"/>
              </w:rPr>
              <w:t xml:space="preserve"> major cardiovascular event</w:t>
            </w:r>
            <w:r w:rsidRPr="00A20A17">
              <w:rPr>
                <w:rFonts w:ascii="Calibri" w:eastAsia="Calibri" w:hAnsi="Calibri" w:cs="Arial"/>
                <w:noProof/>
                <w:webHidden/>
              </w:rPr>
              <w:tab/>
            </w:r>
            <w:r w:rsidRPr="00A20A17">
              <w:rPr>
                <w:rFonts w:ascii="Calibri" w:eastAsia="Calibri" w:hAnsi="Calibri" w:cs="Arial"/>
                <w:noProof/>
                <w:webHidden/>
              </w:rPr>
              <w:fldChar w:fldCharType="begin"/>
            </w:r>
            <w:r w:rsidRPr="00A20A17">
              <w:rPr>
                <w:rFonts w:ascii="Calibri" w:eastAsia="Calibri" w:hAnsi="Calibri" w:cs="Arial"/>
                <w:noProof/>
                <w:webHidden/>
              </w:rPr>
              <w:instrText xml:space="preserve"> PAGEREF _Toc73625974 \h </w:instrText>
            </w:r>
            <w:r w:rsidRPr="00A20A17">
              <w:rPr>
                <w:rFonts w:ascii="Calibri" w:eastAsia="Calibri" w:hAnsi="Calibri" w:cs="Arial"/>
                <w:noProof/>
                <w:webHidden/>
              </w:rPr>
            </w:r>
            <w:r w:rsidRPr="00A20A17">
              <w:rPr>
                <w:rFonts w:ascii="Calibri" w:eastAsia="Calibri" w:hAnsi="Calibri" w:cs="Arial"/>
                <w:noProof/>
                <w:webHidden/>
              </w:rPr>
              <w:fldChar w:fldCharType="separate"/>
            </w:r>
            <w:r w:rsidRPr="00A20A17">
              <w:rPr>
                <w:rFonts w:ascii="Calibri" w:eastAsia="Calibri" w:hAnsi="Calibri" w:cs="Arial"/>
                <w:noProof/>
                <w:webHidden/>
              </w:rPr>
              <w:t>4</w:t>
            </w:r>
            <w:r w:rsidRPr="00A20A17">
              <w:rPr>
                <w:rFonts w:ascii="Calibri" w:eastAsia="Calibri" w:hAnsi="Calibri" w:cs="Arial"/>
                <w:noProof/>
                <w:webHidden/>
              </w:rPr>
              <w:fldChar w:fldCharType="end"/>
            </w:r>
          </w:hyperlink>
        </w:p>
        <w:p w14:paraId="28E25B33" w14:textId="77777777" w:rsidR="00FE37DB" w:rsidRPr="00A20A17" w:rsidRDefault="00FE37DB" w:rsidP="00FE37DB">
          <w:pPr>
            <w:tabs>
              <w:tab w:val="right" w:leader="dot" w:pos="9016"/>
            </w:tabs>
            <w:spacing w:before="120" w:after="100"/>
            <w:ind w:left="220"/>
            <w:rPr>
              <w:rFonts w:ascii="Calibri" w:eastAsia="Calibri" w:hAnsi="Calibri" w:cs="Arial"/>
              <w:noProof/>
              <w:lang w:eastAsia="en-GB"/>
            </w:rPr>
          </w:pPr>
          <w:hyperlink w:anchor="_Toc73625975" w:history="1">
            <w:r w:rsidRPr="00A20A17">
              <w:rPr>
                <w:rFonts w:ascii="Calibri" w:eastAsia="Calibri" w:hAnsi="Calibri" w:cs="Arial"/>
                <w:noProof/>
                <w:color w:val="0563C1"/>
                <w:u w:val="single"/>
              </w:rPr>
              <w:t>Other inputs</w:t>
            </w:r>
            <w:r w:rsidRPr="00A20A17">
              <w:rPr>
                <w:rFonts w:ascii="Calibri" w:eastAsia="Calibri" w:hAnsi="Calibri" w:cs="Arial"/>
                <w:noProof/>
                <w:webHidden/>
              </w:rPr>
              <w:tab/>
            </w:r>
            <w:r w:rsidRPr="00A20A17">
              <w:rPr>
                <w:rFonts w:ascii="Calibri" w:eastAsia="Calibri" w:hAnsi="Calibri" w:cs="Arial"/>
                <w:noProof/>
                <w:webHidden/>
              </w:rPr>
              <w:fldChar w:fldCharType="begin"/>
            </w:r>
            <w:r w:rsidRPr="00A20A17">
              <w:rPr>
                <w:rFonts w:ascii="Calibri" w:eastAsia="Calibri" w:hAnsi="Calibri" w:cs="Arial"/>
                <w:noProof/>
                <w:webHidden/>
              </w:rPr>
              <w:instrText xml:space="preserve"> PAGEREF _Toc73625975 \h </w:instrText>
            </w:r>
            <w:r w:rsidRPr="00A20A17">
              <w:rPr>
                <w:rFonts w:ascii="Calibri" w:eastAsia="Calibri" w:hAnsi="Calibri" w:cs="Arial"/>
                <w:noProof/>
                <w:webHidden/>
              </w:rPr>
            </w:r>
            <w:r w:rsidRPr="00A20A17">
              <w:rPr>
                <w:rFonts w:ascii="Calibri" w:eastAsia="Calibri" w:hAnsi="Calibri" w:cs="Arial"/>
                <w:noProof/>
                <w:webHidden/>
              </w:rPr>
              <w:fldChar w:fldCharType="separate"/>
            </w:r>
            <w:r w:rsidRPr="00A20A17">
              <w:rPr>
                <w:rFonts w:ascii="Calibri" w:eastAsia="Calibri" w:hAnsi="Calibri" w:cs="Arial"/>
                <w:noProof/>
                <w:webHidden/>
              </w:rPr>
              <w:t>9</w:t>
            </w:r>
            <w:r w:rsidRPr="00A20A17">
              <w:rPr>
                <w:rFonts w:ascii="Calibri" w:eastAsia="Calibri" w:hAnsi="Calibri" w:cs="Arial"/>
                <w:noProof/>
                <w:webHidden/>
              </w:rPr>
              <w:fldChar w:fldCharType="end"/>
            </w:r>
          </w:hyperlink>
        </w:p>
        <w:p w14:paraId="0ED17C83" w14:textId="77777777" w:rsidR="00FE37DB" w:rsidRPr="00A20A17" w:rsidRDefault="00FE37DB" w:rsidP="00FE37DB">
          <w:pPr>
            <w:tabs>
              <w:tab w:val="right" w:leader="dot" w:pos="9016"/>
            </w:tabs>
            <w:spacing w:before="120" w:after="100"/>
            <w:rPr>
              <w:rFonts w:ascii="Calibri" w:eastAsia="Calibri" w:hAnsi="Calibri" w:cs="Arial"/>
              <w:noProof/>
              <w:lang w:eastAsia="en-GB"/>
            </w:rPr>
          </w:pPr>
          <w:hyperlink w:anchor="_Toc73625976" w:history="1">
            <w:r w:rsidRPr="00A20A17">
              <w:rPr>
                <w:rFonts w:ascii="Calibri" w:eastAsia="Calibri" w:hAnsi="Calibri" w:cs="Arial"/>
                <w:noProof/>
                <w:color w:val="0563C1"/>
                <w:u w:val="single"/>
              </w:rPr>
              <w:t>Scenario analysis</w:t>
            </w:r>
            <w:r w:rsidRPr="00A20A17">
              <w:rPr>
                <w:rFonts w:ascii="Calibri" w:eastAsia="Calibri" w:hAnsi="Calibri" w:cs="Arial"/>
                <w:noProof/>
                <w:webHidden/>
              </w:rPr>
              <w:tab/>
            </w:r>
            <w:r w:rsidRPr="00A20A17">
              <w:rPr>
                <w:rFonts w:ascii="Calibri" w:eastAsia="Calibri" w:hAnsi="Calibri" w:cs="Arial"/>
                <w:noProof/>
                <w:webHidden/>
              </w:rPr>
              <w:fldChar w:fldCharType="begin"/>
            </w:r>
            <w:r w:rsidRPr="00A20A17">
              <w:rPr>
                <w:rFonts w:ascii="Calibri" w:eastAsia="Calibri" w:hAnsi="Calibri" w:cs="Arial"/>
                <w:noProof/>
                <w:webHidden/>
              </w:rPr>
              <w:instrText xml:space="preserve"> PAGEREF _Toc73625976 \h </w:instrText>
            </w:r>
            <w:r w:rsidRPr="00A20A17">
              <w:rPr>
                <w:rFonts w:ascii="Calibri" w:eastAsia="Calibri" w:hAnsi="Calibri" w:cs="Arial"/>
                <w:noProof/>
                <w:webHidden/>
              </w:rPr>
            </w:r>
            <w:r w:rsidRPr="00A20A17">
              <w:rPr>
                <w:rFonts w:ascii="Calibri" w:eastAsia="Calibri" w:hAnsi="Calibri" w:cs="Arial"/>
                <w:noProof/>
                <w:webHidden/>
              </w:rPr>
              <w:fldChar w:fldCharType="separate"/>
            </w:r>
            <w:r w:rsidRPr="00A20A17">
              <w:rPr>
                <w:rFonts w:ascii="Calibri" w:eastAsia="Calibri" w:hAnsi="Calibri" w:cs="Arial"/>
                <w:noProof/>
                <w:webHidden/>
              </w:rPr>
              <w:t>13</w:t>
            </w:r>
            <w:r w:rsidRPr="00A20A17">
              <w:rPr>
                <w:rFonts w:ascii="Calibri" w:eastAsia="Calibri" w:hAnsi="Calibri" w:cs="Arial"/>
                <w:noProof/>
                <w:webHidden/>
              </w:rPr>
              <w:fldChar w:fldCharType="end"/>
            </w:r>
          </w:hyperlink>
        </w:p>
        <w:p w14:paraId="15A25DEC" w14:textId="77777777" w:rsidR="00FE37DB" w:rsidRPr="00A20A17" w:rsidRDefault="00FE37DB" w:rsidP="00FE37DB">
          <w:pPr>
            <w:tabs>
              <w:tab w:val="right" w:leader="dot" w:pos="9016"/>
            </w:tabs>
            <w:spacing w:before="120" w:after="100"/>
            <w:ind w:left="220"/>
            <w:rPr>
              <w:rFonts w:ascii="Calibri" w:eastAsia="Calibri" w:hAnsi="Calibri" w:cs="Arial"/>
              <w:noProof/>
              <w:lang w:eastAsia="en-GB"/>
            </w:rPr>
          </w:pPr>
          <w:hyperlink w:anchor="_Toc73625977" w:history="1">
            <w:r w:rsidRPr="00A20A17">
              <w:rPr>
                <w:rFonts w:ascii="Calibri" w:eastAsia="Calibri" w:hAnsi="Calibri" w:cs="Arial"/>
                <w:noProof/>
                <w:color w:val="0563C1"/>
                <w:u w:val="single"/>
              </w:rPr>
              <w:t>List of scenario analyses</w:t>
            </w:r>
            <w:r w:rsidRPr="00A20A17">
              <w:rPr>
                <w:rFonts w:ascii="Calibri" w:eastAsia="Calibri" w:hAnsi="Calibri" w:cs="Arial"/>
                <w:noProof/>
                <w:webHidden/>
              </w:rPr>
              <w:tab/>
            </w:r>
            <w:r w:rsidRPr="00A20A17">
              <w:rPr>
                <w:rFonts w:ascii="Calibri" w:eastAsia="Calibri" w:hAnsi="Calibri" w:cs="Arial"/>
                <w:noProof/>
                <w:webHidden/>
              </w:rPr>
              <w:fldChar w:fldCharType="begin"/>
            </w:r>
            <w:r w:rsidRPr="00A20A17">
              <w:rPr>
                <w:rFonts w:ascii="Calibri" w:eastAsia="Calibri" w:hAnsi="Calibri" w:cs="Arial"/>
                <w:noProof/>
                <w:webHidden/>
              </w:rPr>
              <w:instrText xml:space="preserve"> PAGEREF _Toc73625977 \h </w:instrText>
            </w:r>
            <w:r w:rsidRPr="00A20A17">
              <w:rPr>
                <w:rFonts w:ascii="Calibri" w:eastAsia="Calibri" w:hAnsi="Calibri" w:cs="Arial"/>
                <w:noProof/>
                <w:webHidden/>
              </w:rPr>
            </w:r>
            <w:r w:rsidRPr="00A20A17">
              <w:rPr>
                <w:rFonts w:ascii="Calibri" w:eastAsia="Calibri" w:hAnsi="Calibri" w:cs="Arial"/>
                <w:noProof/>
                <w:webHidden/>
              </w:rPr>
              <w:fldChar w:fldCharType="separate"/>
            </w:r>
            <w:r w:rsidRPr="00A20A17">
              <w:rPr>
                <w:rFonts w:ascii="Calibri" w:eastAsia="Calibri" w:hAnsi="Calibri" w:cs="Arial"/>
                <w:noProof/>
                <w:webHidden/>
              </w:rPr>
              <w:t>13</w:t>
            </w:r>
            <w:r w:rsidRPr="00A20A17">
              <w:rPr>
                <w:rFonts w:ascii="Calibri" w:eastAsia="Calibri" w:hAnsi="Calibri" w:cs="Arial"/>
                <w:noProof/>
                <w:webHidden/>
              </w:rPr>
              <w:fldChar w:fldCharType="end"/>
            </w:r>
          </w:hyperlink>
        </w:p>
        <w:p w14:paraId="10F9E048" w14:textId="77777777" w:rsidR="00FE37DB" w:rsidRPr="00A20A17" w:rsidRDefault="00FE37DB" w:rsidP="00FE37DB">
          <w:pPr>
            <w:tabs>
              <w:tab w:val="right" w:leader="dot" w:pos="9016"/>
            </w:tabs>
            <w:spacing w:before="120" w:after="100"/>
            <w:ind w:left="220"/>
            <w:rPr>
              <w:rFonts w:ascii="Calibri" w:eastAsia="Calibri" w:hAnsi="Calibri" w:cs="Arial"/>
              <w:noProof/>
              <w:lang w:eastAsia="en-GB"/>
            </w:rPr>
          </w:pPr>
          <w:hyperlink w:anchor="_Toc73625978" w:history="1">
            <w:r w:rsidRPr="00A20A17">
              <w:rPr>
                <w:rFonts w:ascii="Calibri" w:eastAsia="Calibri" w:hAnsi="Calibri" w:cs="Arial"/>
                <w:noProof/>
                <w:color w:val="0563C1"/>
                <w:u w:val="single"/>
              </w:rPr>
              <w:t>Model inputs for scenario analyses</w:t>
            </w:r>
            <w:r w:rsidRPr="00A20A17">
              <w:rPr>
                <w:rFonts w:ascii="Calibri" w:eastAsia="Calibri" w:hAnsi="Calibri" w:cs="Arial"/>
                <w:noProof/>
                <w:webHidden/>
              </w:rPr>
              <w:tab/>
            </w:r>
            <w:r w:rsidRPr="00A20A17">
              <w:rPr>
                <w:rFonts w:ascii="Calibri" w:eastAsia="Calibri" w:hAnsi="Calibri" w:cs="Arial"/>
                <w:noProof/>
                <w:webHidden/>
              </w:rPr>
              <w:fldChar w:fldCharType="begin"/>
            </w:r>
            <w:r w:rsidRPr="00A20A17">
              <w:rPr>
                <w:rFonts w:ascii="Calibri" w:eastAsia="Calibri" w:hAnsi="Calibri" w:cs="Arial"/>
                <w:noProof/>
                <w:webHidden/>
              </w:rPr>
              <w:instrText xml:space="preserve"> PAGEREF _Toc73625978 \h </w:instrText>
            </w:r>
            <w:r w:rsidRPr="00A20A17">
              <w:rPr>
                <w:rFonts w:ascii="Calibri" w:eastAsia="Calibri" w:hAnsi="Calibri" w:cs="Arial"/>
                <w:noProof/>
                <w:webHidden/>
              </w:rPr>
            </w:r>
            <w:r w:rsidRPr="00A20A17">
              <w:rPr>
                <w:rFonts w:ascii="Calibri" w:eastAsia="Calibri" w:hAnsi="Calibri" w:cs="Arial"/>
                <w:noProof/>
                <w:webHidden/>
              </w:rPr>
              <w:fldChar w:fldCharType="separate"/>
            </w:r>
            <w:r w:rsidRPr="00A20A17">
              <w:rPr>
                <w:rFonts w:ascii="Calibri" w:eastAsia="Calibri" w:hAnsi="Calibri" w:cs="Arial"/>
                <w:noProof/>
                <w:webHidden/>
              </w:rPr>
              <w:t>18</w:t>
            </w:r>
            <w:r w:rsidRPr="00A20A17">
              <w:rPr>
                <w:rFonts w:ascii="Calibri" w:eastAsia="Calibri" w:hAnsi="Calibri" w:cs="Arial"/>
                <w:noProof/>
                <w:webHidden/>
              </w:rPr>
              <w:fldChar w:fldCharType="end"/>
            </w:r>
          </w:hyperlink>
        </w:p>
        <w:p w14:paraId="5D1DF0D0" w14:textId="77777777" w:rsidR="00FE37DB" w:rsidRPr="00A20A17" w:rsidRDefault="00FE37DB" w:rsidP="00FE37DB">
          <w:pPr>
            <w:tabs>
              <w:tab w:val="right" w:leader="dot" w:pos="9016"/>
            </w:tabs>
            <w:spacing w:before="120" w:after="100"/>
            <w:rPr>
              <w:rFonts w:ascii="Calibri" w:eastAsia="Calibri" w:hAnsi="Calibri" w:cs="Arial"/>
              <w:noProof/>
              <w:lang w:eastAsia="en-GB"/>
            </w:rPr>
          </w:pPr>
          <w:hyperlink w:anchor="_Toc73625979" w:history="1">
            <w:r w:rsidRPr="00A20A17">
              <w:rPr>
                <w:rFonts w:ascii="Calibri" w:eastAsia="Calibri" w:hAnsi="Calibri" w:cs="Arial"/>
                <w:noProof/>
                <w:color w:val="0563C1"/>
                <w:u w:val="single"/>
              </w:rPr>
              <w:t>Validation</w:t>
            </w:r>
            <w:r w:rsidRPr="00A20A17">
              <w:rPr>
                <w:rFonts w:ascii="Calibri" w:eastAsia="Calibri" w:hAnsi="Calibri" w:cs="Arial"/>
                <w:noProof/>
                <w:webHidden/>
              </w:rPr>
              <w:tab/>
            </w:r>
            <w:r w:rsidRPr="00A20A17">
              <w:rPr>
                <w:rFonts w:ascii="Calibri" w:eastAsia="Calibri" w:hAnsi="Calibri" w:cs="Arial"/>
                <w:noProof/>
                <w:webHidden/>
              </w:rPr>
              <w:fldChar w:fldCharType="begin"/>
            </w:r>
            <w:r w:rsidRPr="00A20A17">
              <w:rPr>
                <w:rFonts w:ascii="Calibri" w:eastAsia="Calibri" w:hAnsi="Calibri" w:cs="Arial"/>
                <w:noProof/>
                <w:webHidden/>
              </w:rPr>
              <w:instrText xml:space="preserve"> PAGEREF _Toc73625979 \h </w:instrText>
            </w:r>
            <w:r w:rsidRPr="00A20A17">
              <w:rPr>
                <w:rFonts w:ascii="Calibri" w:eastAsia="Calibri" w:hAnsi="Calibri" w:cs="Arial"/>
                <w:noProof/>
                <w:webHidden/>
              </w:rPr>
            </w:r>
            <w:r w:rsidRPr="00A20A17">
              <w:rPr>
                <w:rFonts w:ascii="Calibri" w:eastAsia="Calibri" w:hAnsi="Calibri" w:cs="Arial"/>
                <w:noProof/>
                <w:webHidden/>
              </w:rPr>
              <w:fldChar w:fldCharType="separate"/>
            </w:r>
            <w:r w:rsidRPr="00A20A17">
              <w:rPr>
                <w:rFonts w:ascii="Calibri" w:eastAsia="Calibri" w:hAnsi="Calibri" w:cs="Arial"/>
                <w:noProof/>
                <w:webHidden/>
              </w:rPr>
              <w:t>21</w:t>
            </w:r>
            <w:r w:rsidRPr="00A20A17">
              <w:rPr>
                <w:rFonts w:ascii="Calibri" w:eastAsia="Calibri" w:hAnsi="Calibri" w:cs="Arial"/>
                <w:noProof/>
                <w:webHidden/>
              </w:rPr>
              <w:fldChar w:fldCharType="end"/>
            </w:r>
          </w:hyperlink>
        </w:p>
        <w:p w14:paraId="60AC406A" w14:textId="77777777" w:rsidR="00FE37DB" w:rsidRPr="00A20A17" w:rsidRDefault="00FE37DB" w:rsidP="00FE37DB">
          <w:pPr>
            <w:tabs>
              <w:tab w:val="right" w:leader="dot" w:pos="9016"/>
            </w:tabs>
            <w:spacing w:before="120" w:after="100"/>
            <w:ind w:left="220"/>
            <w:rPr>
              <w:rFonts w:ascii="Calibri" w:eastAsia="Calibri" w:hAnsi="Calibri" w:cs="Arial"/>
              <w:noProof/>
              <w:lang w:eastAsia="en-GB"/>
            </w:rPr>
          </w:pPr>
          <w:hyperlink w:anchor="_Toc73625980" w:history="1">
            <w:r w:rsidRPr="00A20A17">
              <w:rPr>
                <w:rFonts w:ascii="Calibri" w:eastAsia="Calibri" w:hAnsi="Calibri" w:cs="Arial"/>
                <w:noProof/>
                <w:color w:val="0563C1"/>
                <w:u w:val="single"/>
              </w:rPr>
              <w:t xml:space="preserve">Advishe checklist </w:t>
            </w:r>
            <w:r w:rsidRPr="00A20A17">
              <w:rPr>
                <w:rFonts w:ascii="Calibri" w:eastAsia="Calibri" w:hAnsi="Calibri" w:cs="Arial"/>
                <w:noProof/>
                <w:color w:val="0563C1"/>
                <w:u w:val="single"/>
                <w:vertAlign w:val="superscript"/>
              </w:rPr>
              <w:t>31</w:t>
            </w:r>
            <w:r w:rsidRPr="00A20A17">
              <w:rPr>
                <w:rFonts w:ascii="Calibri" w:eastAsia="Calibri" w:hAnsi="Calibri" w:cs="Arial"/>
                <w:noProof/>
                <w:webHidden/>
              </w:rPr>
              <w:tab/>
            </w:r>
            <w:r w:rsidRPr="00A20A17">
              <w:rPr>
                <w:rFonts w:ascii="Calibri" w:eastAsia="Calibri" w:hAnsi="Calibri" w:cs="Arial"/>
                <w:noProof/>
                <w:webHidden/>
              </w:rPr>
              <w:fldChar w:fldCharType="begin"/>
            </w:r>
            <w:r w:rsidRPr="00A20A17">
              <w:rPr>
                <w:rFonts w:ascii="Calibri" w:eastAsia="Calibri" w:hAnsi="Calibri" w:cs="Arial"/>
                <w:noProof/>
                <w:webHidden/>
              </w:rPr>
              <w:instrText xml:space="preserve"> PAGEREF _Toc73625980 \h </w:instrText>
            </w:r>
            <w:r w:rsidRPr="00A20A17">
              <w:rPr>
                <w:rFonts w:ascii="Calibri" w:eastAsia="Calibri" w:hAnsi="Calibri" w:cs="Arial"/>
                <w:noProof/>
                <w:webHidden/>
              </w:rPr>
            </w:r>
            <w:r w:rsidRPr="00A20A17">
              <w:rPr>
                <w:rFonts w:ascii="Calibri" w:eastAsia="Calibri" w:hAnsi="Calibri" w:cs="Arial"/>
                <w:noProof/>
                <w:webHidden/>
              </w:rPr>
              <w:fldChar w:fldCharType="separate"/>
            </w:r>
            <w:r w:rsidRPr="00A20A17">
              <w:rPr>
                <w:rFonts w:ascii="Calibri" w:eastAsia="Calibri" w:hAnsi="Calibri" w:cs="Arial"/>
                <w:noProof/>
                <w:webHidden/>
              </w:rPr>
              <w:t>21</w:t>
            </w:r>
            <w:r w:rsidRPr="00A20A17">
              <w:rPr>
                <w:rFonts w:ascii="Calibri" w:eastAsia="Calibri" w:hAnsi="Calibri" w:cs="Arial"/>
                <w:noProof/>
                <w:webHidden/>
              </w:rPr>
              <w:fldChar w:fldCharType="end"/>
            </w:r>
          </w:hyperlink>
        </w:p>
        <w:p w14:paraId="4B300F14" w14:textId="77777777" w:rsidR="00FE37DB" w:rsidRPr="00A20A17" w:rsidRDefault="00FE37DB" w:rsidP="00FE37DB">
          <w:pPr>
            <w:tabs>
              <w:tab w:val="right" w:leader="dot" w:pos="9016"/>
            </w:tabs>
            <w:spacing w:before="120" w:after="100"/>
            <w:ind w:left="220"/>
            <w:rPr>
              <w:rFonts w:ascii="Calibri" w:eastAsia="Calibri" w:hAnsi="Calibri" w:cs="Arial"/>
              <w:noProof/>
              <w:lang w:eastAsia="en-GB"/>
            </w:rPr>
          </w:pPr>
          <w:hyperlink w:anchor="_Toc73625981" w:history="1">
            <w:r w:rsidRPr="00A20A17">
              <w:rPr>
                <w:rFonts w:ascii="Calibri" w:eastAsia="Calibri" w:hAnsi="Calibri" w:cs="Arial"/>
                <w:noProof/>
                <w:color w:val="0563C1"/>
                <w:u w:val="single"/>
              </w:rPr>
              <w:t xml:space="preserve">TECH-VER checklist </w:t>
            </w:r>
            <w:r w:rsidRPr="00A20A17">
              <w:rPr>
                <w:rFonts w:ascii="Calibri" w:eastAsia="Calibri" w:hAnsi="Calibri" w:cs="Arial"/>
                <w:noProof/>
                <w:color w:val="0563C1"/>
                <w:u w:val="single"/>
                <w:vertAlign w:val="superscript"/>
              </w:rPr>
              <w:t>32</w:t>
            </w:r>
            <w:r w:rsidRPr="00A20A17">
              <w:rPr>
                <w:rFonts w:ascii="Calibri" w:eastAsia="Calibri" w:hAnsi="Calibri" w:cs="Arial"/>
                <w:noProof/>
                <w:webHidden/>
              </w:rPr>
              <w:tab/>
            </w:r>
            <w:r w:rsidRPr="00A20A17">
              <w:rPr>
                <w:rFonts w:ascii="Calibri" w:eastAsia="Calibri" w:hAnsi="Calibri" w:cs="Arial"/>
                <w:noProof/>
                <w:webHidden/>
              </w:rPr>
              <w:fldChar w:fldCharType="begin"/>
            </w:r>
            <w:r w:rsidRPr="00A20A17">
              <w:rPr>
                <w:rFonts w:ascii="Calibri" w:eastAsia="Calibri" w:hAnsi="Calibri" w:cs="Arial"/>
                <w:noProof/>
                <w:webHidden/>
              </w:rPr>
              <w:instrText xml:space="preserve"> PAGEREF _Toc73625981 \h </w:instrText>
            </w:r>
            <w:r w:rsidRPr="00A20A17">
              <w:rPr>
                <w:rFonts w:ascii="Calibri" w:eastAsia="Calibri" w:hAnsi="Calibri" w:cs="Arial"/>
                <w:noProof/>
                <w:webHidden/>
              </w:rPr>
            </w:r>
            <w:r w:rsidRPr="00A20A17">
              <w:rPr>
                <w:rFonts w:ascii="Calibri" w:eastAsia="Calibri" w:hAnsi="Calibri" w:cs="Arial"/>
                <w:noProof/>
                <w:webHidden/>
              </w:rPr>
              <w:fldChar w:fldCharType="separate"/>
            </w:r>
            <w:r w:rsidRPr="00A20A17">
              <w:rPr>
                <w:rFonts w:ascii="Calibri" w:eastAsia="Calibri" w:hAnsi="Calibri" w:cs="Arial"/>
                <w:noProof/>
                <w:webHidden/>
              </w:rPr>
              <w:t>22</w:t>
            </w:r>
            <w:r w:rsidRPr="00A20A17">
              <w:rPr>
                <w:rFonts w:ascii="Calibri" w:eastAsia="Calibri" w:hAnsi="Calibri" w:cs="Arial"/>
                <w:noProof/>
                <w:webHidden/>
              </w:rPr>
              <w:fldChar w:fldCharType="end"/>
            </w:r>
          </w:hyperlink>
        </w:p>
        <w:p w14:paraId="0DBF53AD" w14:textId="77777777" w:rsidR="00FE37DB" w:rsidRPr="00A20A17" w:rsidRDefault="00FE37DB" w:rsidP="00FE37DB">
          <w:pPr>
            <w:tabs>
              <w:tab w:val="right" w:leader="dot" w:pos="9016"/>
            </w:tabs>
            <w:spacing w:before="120" w:after="100"/>
            <w:rPr>
              <w:rFonts w:ascii="Calibri" w:eastAsia="Calibri" w:hAnsi="Calibri" w:cs="Arial"/>
              <w:noProof/>
              <w:lang w:eastAsia="en-GB"/>
            </w:rPr>
          </w:pPr>
          <w:hyperlink w:anchor="_Toc73625982" w:history="1">
            <w:r w:rsidRPr="00A20A17">
              <w:rPr>
                <w:rFonts w:ascii="Calibri" w:eastAsia="Calibri" w:hAnsi="Calibri" w:cs="Arial"/>
                <w:noProof/>
                <w:color w:val="0563C1"/>
                <w:u w:val="single"/>
              </w:rPr>
              <w:t>Results</w:t>
            </w:r>
            <w:r w:rsidRPr="00A20A17">
              <w:rPr>
                <w:rFonts w:ascii="Calibri" w:eastAsia="Calibri" w:hAnsi="Calibri" w:cs="Arial"/>
                <w:noProof/>
                <w:webHidden/>
              </w:rPr>
              <w:tab/>
            </w:r>
            <w:r w:rsidRPr="00A20A17">
              <w:rPr>
                <w:rFonts w:ascii="Calibri" w:eastAsia="Calibri" w:hAnsi="Calibri" w:cs="Arial"/>
                <w:noProof/>
                <w:webHidden/>
              </w:rPr>
              <w:fldChar w:fldCharType="begin"/>
            </w:r>
            <w:r w:rsidRPr="00A20A17">
              <w:rPr>
                <w:rFonts w:ascii="Calibri" w:eastAsia="Calibri" w:hAnsi="Calibri" w:cs="Arial"/>
                <w:noProof/>
                <w:webHidden/>
              </w:rPr>
              <w:instrText xml:space="preserve"> PAGEREF _Toc73625982 \h </w:instrText>
            </w:r>
            <w:r w:rsidRPr="00A20A17">
              <w:rPr>
                <w:rFonts w:ascii="Calibri" w:eastAsia="Calibri" w:hAnsi="Calibri" w:cs="Arial"/>
                <w:noProof/>
                <w:webHidden/>
              </w:rPr>
            </w:r>
            <w:r w:rsidRPr="00A20A17">
              <w:rPr>
                <w:rFonts w:ascii="Calibri" w:eastAsia="Calibri" w:hAnsi="Calibri" w:cs="Arial"/>
                <w:noProof/>
                <w:webHidden/>
              </w:rPr>
              <w:fldChar w:fldCharType="separate"/>
            </w:r>
            <w:r w:rsidRPr="00A20A17">
              <w:rPr>
                <w:rFonts w:ascii="Calibri" w:eastAsia="Calibri" w:hAnsi="Calibri" w:cs="Arial"/>
                <w:noProof/>
                <w:webHidden/>
              </w:rPr>
              <w:t>27</w:t>
            </w:r>
            <w:r w:rsidRPr="00A20A17">
              <w:rPr>
                <w:rFonts w:ascii="Calibri" w:eastAsia="Calibri" w:hAnsi="Calibri" w:cs="Arial"/>
                <w:noProof/>
                <w:webHidden/>
              </w:rPr>
              <w:fldChar w:fldCharType="end"/>
            </w:r>
          </w:hyperlink>
        </w:p>
        <w:p w14:paraId="7FF9CC6A" w14:textId="77777777" w:rsidR="00FE37DB" w:rsidRPr="00A20A17" w:rsidRDefault="00FE37DB" w:rsidP="00FE37DB">
          <w:pPr>
            <w:tabs>
              <w:tab w:val="right" w:leader="dot" w:pos="9016"/>
            </w:tabs>
            <w:spacing w:before="120" w:after="100"/>
            <w:ind w:left="220"/>
            <w:rPr>
              <w:rFonts w:ascii="Calibri" w:eastAsia="Calibri" w:hAnsi="Calibri" w:cs="Arial"/>
              <w:noProof/>
              <w:lang w:eastAsia="en-GB"/>
            </w:rPr>
          </w:pPr>
          <w:hyperlink w:anchor="_Toc73625983" w:history="1">
            <w:r w:rsidRPr="00A20A17">
              <w:rPr>
                <w:rFonts w:ascii="Calibri" w:eastAsia="Calibri" w:hAnsi="Calibri" w:cs="Arial"/>
                <w:noProof/>
                <w:color w:val="0563C1"/>
                <w:u w:val="single"/>
              </w:rPr>
              <w:t>Impact of diagnosis on health outcomes</w:t>
            </w:r>
            <w:r w:rsidRPr="00A20A17">
              <w:rPr>
                <w:rFonts w:ascii="Calibri" w:eastAsia="Calibri" w:hAnsi="Calibri" w:cs="Arial"/>
                <w:noProof/>
                <w:webHidden/>
              </w:rPr>
              <w:tab/>
            </w:r>
            <w:r w:rsidRPr="00A20A17">
              <w:rPr>
                <w:rFonts w:ascii="Calibri" w:eastAsia="Calibri" w:hAnsi="Calibri" w:cs="Arial"/>
                <w:noProof/>
                <w:webHidden/>
              </w:rPr>
              <w:fldChar w:fldCharType="begin"/>
            </w:r>
            <w:r w:rsidRPr="00A20A17">
              <w:rPr>
                <w:rFonts w:ascii="Calibri" w:eastAsia="Calibri" w:hAnsi="Calibri" w:cs="Arial"/>
                <w:noProof/>
                <w:webHidden/>
              </w:rPr>
              <w:instrText xml:space="preserve"> PAGEREF _Toc73625983 \h </w:instrText>
            </w:r>
            <w:r w:rsidRPr="00A20A17">
              <w:rPr>
                <w:rFonts w:ascii="Calibri" w:eastAsia="Calibri" w:hAnsi="Calibri" w:cs="Arial"/>
                <w:noProof/>
                <w:webHidden/>
              </w:rPr>
            </w:r>
            <w:r w:rsidRPr="00A20A17">
              <w:rPr>
                <w:rFonts w:ascii="Calibri" w:eastAsia="Calibri" w:hAnsi="Calibri" w:cs="Arial"/>
                <w:noProof/>
                <w:webHidden/>
              </w:rPr>
              <w:fldChar w:fldCharType="separate"/>
            </w:r>
            <w:r w:rsidRPr="00A20A17">
              <w:rPr>
                <w:rFonts w:ascii="Calibri" w:eastAsia="Calibri" w:hAnsi="Calibri" w:cs="Arial"/>
                <w:noProof/>
                <w:webHidden/>
              </w:rPr>
              <w:t>27</w:t>
            </w:r>
            <w:r w:rsidRPr="00A20A17">
              <w:rPr>
                <w:rFonts w:ascii="Calibri" w:eastAsia="Calibri" w:hAnsi="Calibri" w:cs="Arial"/>
                <w:noProof/>
                <w:webHidden/>
              </w:rPr>
              <w:fldChar w:fldCharType="end"/>
            </w:r>
          </w:hyperlink>
        </w:p>
        <w:p w14:paraId="2D240408" w14:textId="77777777" w:rsidR="00FE37DB" w:rsidRPr="00A20A17" w:rsidRDefault="00FE37DB" w:rsidP="00FE37DB">
          <w:pPr>
            <w:tabs>
              <w:tab w:val="right" w:leader="dot" w:pos="9016"/>
            </w:tabs>
            <w:spacing w:before="120" w:after="100"/>
            <w:ind w:left="220"/>
            <w:rPr>
              <w:rFonts w:ascii="Calibri" w:eastAsia="Calibri" w:hAnsi="Calibri" w:cs="Arial"/>
              <w:noProof/>
              <w:lang w:eastAsia="en-GB"/>
            </w:rPr>
          </w:pPr>
          <w:hyperlink w:anchor="_Toc73625984" w:history="1">
            <w:r w:rsidRPr="00A20A17">
              <w:rPr>
                <w:rFonts w:ascii="Calibri" w:eastAsia="Calibri" w:hAnsi="Calibri" w:cs="Arial"/>
                <w:noProof/>
                <w:color w:val="0563C1"/>
                <w:u w:val="single"/>
              </w:rPr>
              <w:t>Impact of diagnosis on costs</w:t>
            </w:r>
            <w:r w:rsidRPr="00A20A17">
              <w:rPr>
                <w:rFonts w:ascii="Calibri" w:eastAsia="Calibri" w:hAnsi="Calibri" w:cs="Arial"/>
                <w:noProof/>
                <w:webHidden/>
              </w:rPr>
              <w:tab/>
            </w:r>
            <w:r w:rsidRPr="00A20A17">
              <w:rPr>
                <w:rFonts w:ascii="Calibri" w:eastAsia="Calibri" w:hAnsi="Calibri" w:cs="Arial"/>
                <w:noProof/>
                <w:webHidden/>
              </w:rPr>
              <w:fldChar w:fldCharType="begin"/>
            </w:r>
            <w:r w:rsidRPr="00A20A17">
              <w:rPr>
                <w:rFonts w:ascii="Calibri" w:eastAsia="Calibri" w:hAnsi="Calibri" w:cs="Arial"/>
                <w:noProof/>
                <w:webHidden/>
              </w:rPr>
              <w:instrText xml:space="preserve"> PAGEREF _Toc73625984 \h </w:instrText>
            </w:r>
            <w:r w:rsidRPr="00A20A17">
              <w:rPr>
                <w:rFonts w:ascii="Calibri" w:eastAsia="Calibri" w:hAnsi="Calibri" w:cs="Arial"/>
                <w:noProof/>
                <w:webHidden/>
              </w:rPr>
            </w:r>
            <w:r w:rsidRPr="00A20A17">
              <w:rPr>
                <w:rFonts w:ascii="Calibri" w:eastAsia="Calibri" w:hAnsi="Calibri" w:cs="Arial"/>
                <w:noProof/>
                <w:webHidden/>
              </w:rPr>
              <w:fldChar w:fldCharType="separate"/>
            </w:r>
            <w:r w:rsidRPr="00A20A17">
              <w:rPr>
                <w:rFonts w:ascii="Calibri" w:eastAsia="Calibri" w:hAnsi="Calibri" w:cs="Arial"/>
                <w:noProof/>
                <w:webHidden/>
              </w:rPr>
              <w:t>29</w:t>
            </w:r>
            <w:r w:rsidRPr="00A20A17">
              <w:rPr>
                <w:rFonts w:ascii="Calibri" w:eastAsia="Calibri" w:hAnsi="Calibri" w:cs="Arial"/>
                <w:noProof/>
                <w:webHidden/>
              </w:rPr>
              <w:fldChar w:fldCharType="end"/>
            </w:r>
          </w:hyperlink>
        </w:p>
        <w:p w14:paraId="59BB74C1" w14:textId="77777777" w:rsidR="00FE37DB" w:rsidRPr="00A20A17" w:rsidRDefault="00FE37DB" w:rsidP="00FE37DB">
          <w:pPr>
            <w:tabs>
              <w:tab w:val="right" w:leader="dot" w:pos="9016"/>
            </w:tabs>
            <w:spacing w:before="120" w:after="100"/>
            <w:ind w:left="220"/>
            <w:rPr>
              <w:rFonts w:ascii="Calibri" w:eastAsia="Calibri" w:hAnsi="Calibri" w:cs="Arial"/>
              <w:noProof/>
              <w:lang w:eastAsia="en-GB"/>
            </w:rPr>
          </w:pPr>
          <w:hyperlink w:anchor="_Toc73625985" w:history="1">
            <w:r w:rsidRPr="00A20A17">
              <w:rPr>
                <w:rFonts w:ascii="Calibri" w:eastAsia="Calibri" w:hAnsi="Calibri" w:cs="Arial"/>
                <w:noProof/>
                <w:color w:val="0563C1"/>
                <w:u w:val="single"/>
              </w:rPr>
              <w:t>Impact of diagnosis on net health gain</w:t>
            </w:r>
            <w:r w:rsidRPr="00A20A17">
              <w:rPr>
                <w:rFonts w:ascii="Calibri" w:eastAsia="Calibri" w:hAnsi="Calibri" w:cs="Arial"/>
                <w:noProof/>
                <w:webHidden/>
              </w:rPr>
              <w:tab/>
            </w:r>
            <w:r w:rsidRPr="00A20A17">
              <w:rPr>
                <w:rFonts w:ascii="Calibri" w:eastAsia="Calibri" w:hAnsi="Calibri" w:cs="Arial"/>
                <w:noProof/>
                <w:webHidden/>
              </w:rPr>
              <w:fldChar w:fldCharType="begin"/>
            </w:r>
            <w:r w:rsidRPr="00A20A17">
              <w:rPr>
                <w:rFonts w:ascii="Calibri" w:eastAsia="Calibri" w:hAnsi="Calibri" w:cs="Arial"/>
                <w:noProof/>
                <w:webHidden/>
              </w:rPr>
              <w:instrText xml:space="preserve"> PAGEREF _Toc73625985 \h </w:instrText>
            </w:r>
            <w:r w:rsidRPr="00A20A17">
              <w:rPr>
                <w:rFonts w:ascii="Calibri" w:eastAsia="Calibri" w:hAnsi="Calibri" w:cs="Arial"/>
                <w:noProof/>
                <w:webHidden/>
              </w:rPr>
            </w:r>
            <w:r w:rsidRPr="00A20A17">
              <w:rPr>
                <w:rFonts w:ascii="Calibri" w:eastAsia="Calibri" w:hAnsi="Calibri" w:cs="Arial"/>
                <w:noProof/>
                <w:webHidden/>
              </w:rPr>
              <w:fldChar w:fldCharType="separate"/>
            </w:r>
            <w:r w:rsidRPr="00A20A17">
              <w:rPr>
                <w:rFonts w:ascii="Calibri" w:eastAsia="Calibri" w:hAnsi="Calibri" w:cs="Arial"/>
                <w:noProof/>
                <w:webHidden/>
              </w:rPr>
              <w:t>30</w:t>
            </w:r>
            <w:r w:rsidRPr="00A20A17">
              <w:rPr>
                <w:rFonts w:ascii="Calibri" w:eastAsia="Calibri" w:hAnsi="Calibri" w:cs="Arial"/>
                <w:noProof/>
                <w:webHidden/>
              </w:rPr>
              <w:fldChar w:fldCharType="end"/>
            </w:r>
          </w:hyperlink>
        </w:p>
        <w:p w14:paraId="077B05C1" w14:textId="77777777" w:rsidR="00FE37DB" w:rsidRPr="00A20A17" w:rsidRDefault="00FE37DB" w:rsidP="00FE37DB">
          <w:pPr>
            <w:tabs>
              <w:tab w:val="right" w:leader="dot" w:pos="9016"/>
            </w:tabs>
            <w:spacing w:before="120" w:after="100"/>
            <w:ind w:left="220"/>
            <w:rPr>
              <w:rFonts w:ascii="Calibri" w:eastAsia="Calibri" w:hAnsi="Calibri" w:cs="Arial"/>
              <w:noProof/>
              <w:lang w:eastAsia="en-GB"/>
            </w:rPr>
          </w:pPr>
          <w:hyperlink w:anchor="_Toc73625986" w:history="1">
            <w:r w:rsidRPr="00A20A17">
              <w:rPr>
                <w:rFonts w:ascii="Calibri" w:eastAsia="Calibri" w:hAnsi="Calibri" w:cs="Arial"/>
                <w:noProof/>
                <w:color w:val="0563C1"/>
                <w:u w:val="single"/>
              </w:rPr>
              <w:t>Probability that diagnosis is a net health gain for the NHS</w:t>
            </w:r>
            <w:r w:rsidRPr="00A20A17">
              <w:rPr>
                <w:rFonts w:ascii="Calibri" w:eastAsia="Calibri" w:hAnsi="Calibri" w:cs="Arial"/>
                <w:noProof/>
                <w:webHidden/>
              </w:rPr>
              <w:tab/>
            </w:r>
            <w:r w:rsidRPr="00A20A17">
              <w:rPr>
                <w:rFonts w:ascii="Calibri" w:eastAsia="Calibri" w:hAnsi="Calibri" w:cs="Arial"/>
                <w:noProof/>
                <w:webHidden/>
              </w:rPr>
              <w:fldChar w:fldCharType="begin"/>
            </w:r>
            <w:r w:rsidRPr="00A20A17">
              <w:rPr>
                <w:rFonts w:ascii="Calibri" w:eastAsia="Calibri" w:hAnsi="Calibri" w:cs="Arial"/>
                <w:noProof/>
                <w:webHidden/>
              </w:rPr>
              <w:instrText xml:space="preserve"> PAGEREF _Toc73625986 \h </w:instrText>
            </w:r>
            <w:r w:rsidRPr="00A20A17">
              <w:rPr>
                <w:rFonts w:ascii="Calibri" w:eastAsia="Calibri" w:hAnsi="Calibri" w:cs="Arial"/>
                <w:noProof/>
                <w:webHidden/>
              </w:rPr>
            </w:r>
            <w:r w:rsidRPr="00A20A17">
              <w:rPr>
                <w:rFonts w:ascii="Calibri" w:eastAsia="Calibri" w:hAnsi="Calibri" w:cs="Arial"/>
                <w:noProof/>
                <w:webHidden/>
              </w:rPr>
              <w:fldChar w:fldCharType="separate"/>
            </w:r>
            <w:r w:rsidRPr="00A20A17">
              <w:rPr>
                <w:rFonts w:ascii="Calibri" w:eastAsia="Calibri" w:hAnsi="Calibri" w:cs="Arial"/>
                <w:noProof/>
                <w:webHidden/>
              </w:rPr>
              <w:t>31</w:t>
            </w:r>
            <w:r w:rsidRPr="00A20A17">
              <w:rPr>
                <w:rFonts w:ascii="Calibri" w:eastAsia="Calibri" w:hAnsi="Calibri" w:cs="Arial"/>
                <w:noProof/>
                <w:webHidden/>
              </w:rPr>
              <w:fldChar w:fldCharType="end"/>
            </w:r>
          </w:hyperlink>
        </w:p>
        <w:p w14:paraId="15987756" w14:textId="77777777" w:rsidR="00FE37DB" w:rsidRPr="00A20A17" w:rsidRDefault="00FE37DB" w:rsidP="00FE37DB">
          <w:pPr>
            <w:tabs>
              <w:tab w:val="right" w:leader="dot" w:pos="9016"/>
            </w:tabs>
            <w:spacing w:before="120" w:after="100"/>
            <w:ind w:left="220"/>
            <w:rPr>
              <w:rFonts w:ascii="Calibri" w:eastAsia="Calibri" w:hAnsi="Calibri" w:cs="Arial"/>
              <w:noProof/>
              <w:lang w:eastAsia="en-GB"/>
            </w:rPr>
          </w:pPr>
          <w:hyperlink w:anchor="_Toc73625987" w:history="1">
            <w:r w:rsidRPr="00A20A17">
              <w:rPr>
                <w:rFonts w:ascii="Calibri" w:eastAsia="Calibri" w:hAnsi="Calibri" w:cs="Arial"/>
                <w:noProof/>
                <w:color w:val="0563C1"/>
                <w:u w:val="single"/>
              </w:rPr>
              <w:t>Results of the scenario analysis</w:t>
            </w:r>
            <w:r w:rsidRPr="00A20A17">
              <w:rPr>
                <w:rFonts w:ascii="Calibri" w:eastAsia="Calibri" w:hAnsi="Calibri" w:cs="Arial"/>
                <w:noProof/>
                <w:webHidden/>
              </w:rPr>
              <w:tab/>
            </w:r>
            <w:r w:rsidRPr="00A20A17">
              <w:rPr>
                <w:rFonts w:ascii="Calibri" w:eastAsia="Calibri" w:hAnsi="Calibri" w:cs="Arial"/>
                <w:noProof/>
                <w:webHidden/>
              </w:rPr>
              <w:fldChar w:fldCharType="begin"/>
            </w:r>
            <w:r w:rsidRPr="00A20A17">
              <w:rPr>
                <w:rFonts w:ascii="Calibri" w:eastAsia="Calibri" w:hAnsi="Calibri" w:cs="Arial"/>
                <w:noProof/>
                <w:webHidden/>
              </w:rPr>
              <w:instrText xml:space="preserve"> PAGEREF _Toc73625987 \h </w:instrText>
            </w:r>
            <w:r w:rsidRPr="00A20A17">
              <w:rPr>
                <w:rFonts w:ascii="Calibri" w:eastAsia="Calibri" w:hAnsi="Calibri" w:cs="Arial"/>
                <w:noProof/>
                <w:webHidden/>
              </w:rPr>
            </w:r>
            <w:r w:rsidRPr="00A20A17">
              <w:rPr>
                <w:rFonts w:ascii="Calibri" w:eastAsia="Calibri" w:hAnsi="Calibri" w:cs="Arial"/>
                <w:noProof/>
                <w:webHidden/>
              </w:rPr>
              <w:fldChar w:fldCharType="separate"/>
            </w:r>
            <w:r w:rsidRPr="00A20A17">
              <w:rPr>
                <w:rFonts w:ascii="Calibri" w:eastAsia="Calibri" w:hAnsi="Calibri" w:cs="Arial"/>
                <w:noProof/>
                <w:webHidden/>
              </w:rPr>
              <w:t>32</w:t>
            </w:r>
            <w:r w:rsidRPr="00A20A17">
              <w:rPr>
                <w:rFonts w:ascii="Calibri" w:eastAsia="Calibri" w:hAnsi="Calibri" w:cs="Arial"/>
                <w:noProof/>
                <w:webHidden/>
              </w:rPr>
              <w:fldChar w:fldCharType="end"/>
            </w:r>
          </w:hyperlink>
        </w:p>
        <w:p w14:paraId="1526D6E4" w14:textId="77777777" w:rsidR="00FE37DB" w:rsidRPr="00A20A17" w:rsidRDefault="00FE37DB" w:rsidP="00FE37DB">
          <w:pPr>
            <w:tabs>
              <w:tab w:val="right" w:leader="dot" w:pos="9016"/>
            </w:tabs>
            <w:spacing w:before="120" w:after="100"/>
            <w:ind w:left="220"/>
            <w:rPr>
              <w:rFonts w:ascii="Calibri" w:eastAsia="Calibri" w:hAnsi="Calibri" w:cs="Arial"/>
              <w:noProof/>
              <w:lang w:eastAsia="en-GB"/>
            </w:rPr>
          </w:pPr>
          <w:hyperlink w:anchor="_Toc73625988" w:history="1">
            <w:r w:rsidRPr="00A20A17">
              <w:rPr>
                <w:rFonts w:ascii="Calibri" w:eastAsia="Calibri" w:hAnsi="Calibri" w:cs="Arial"/>
                <w:noProof/>
                <w:color w:val="0563C1"/>
                <w:u w:val="single"/>
              </w:rPr>
              <w:t>Expected value of perfect information</w:t>
            </w:r>
            <w:r w:rsidRPr="00A20A17">
              <w:rPr>
                <w:rFonts w:ascii="Calibri" w:eastAsia="Calibri" w:hAnsi="Calibri" w:cs="Arial"/>
                <w:noProof/>
                <w:webHidden/>
              </w:rPr>
              <w:tab/>
            </w:r>
            <w:r w:rsidRPr="00A20A17">
              <w:rPr>
                <w:rFonts w:ascii="Calibri" w:eastAsia="Calibri" w:hAnsi="Calibri" w:cs="Arial"/>
                <w:noProof/>
                <w:webHidden/>
              </w:rPr>
              <w:fldChar w:fldCharType="begin"/>
            </w:r>
            <w:r w:rsidRPr="00A20A17">
              <w:rPr>
                <w:rFonts w:ascii="Calibri" w:eastAsia="Calibri" w:hAnsi="Calibri" w:cs="Arial"/>
                <w:noProof/>
                <w:webHidden/>
              </w:rPr>
              <w:instrText xml:space="preserve"> PAGEREF _Toc73625988 \h </w:instrText>
            </w:r>
            <w:r w:rsidRPr="00A20A17">
              <w:rPr>
                <w:rFonts w:ascii="Calibri" w:eastAsia="Calibri" w:hAnsi="Calibri" w:cs="Arial"/>
                <w:noProof/>
                <w:webHidden/>
              </w:rPr>
            </w:r>
            <w:r w:rsidRPr="00A20A17">
              <w:rPr>
                <w:rFonts w:ascii="Calibri" w:eastAsia="Calibri" w:hAnsi="Calibri" w:cs="Arial"/>
                <w:noProof/>
                <w:webHidden/>
              </w:rPr>
              <w:fldChar w:fldCharType="separate"/>
            </w:r>
            <w:r w:rsidRPr="00A20A17">
              <w:rPr>
                <w:rFonts w:ascii="Calibri" w:eastAsia="Calibri" w:hAnsi="Calibri" w:cs="Arial"/>
                <w:noProof/>
                <w:webHidden/>
              </w:rPr>
              <w:t>34</w:t>
            </w:r>
            <w:r w:rsidRPr="00A20A17">
              <w:rPr>
                <w:rFonts w:ascii="Calibri" w:eastAsia="Calibri" w:hAnsi="Calibri" w:cs="Arial"/>
                <w:noProof/>
                <w:webHidden/>
              </w:rPr>
              <w:fldChar w:fldCharType="end"/>
            </w:r>
          </w:hyperlink>
        </w:p>
        <w:p w14:paraId="0E0EA898" w14:textId="77777777" w:rsidR="00FE37DB" w:rsidRPr="00A20A17" w:rsidRDefault="00FE37DB" w:rsidP="00FE37DB">
          <w:pPr>
            <w:tabs>
              <w:tab w:val="right" w:leader="dot" w:pos="9016"/>
            </w:tabs>
            <w:spacing w:before="120" w:after="100"/>
            <w:rPr>
              <w:rFonts w:ascii="Calibri" w:eastAsia="Calibri" w:hAnsi="Calibri" w:cs="Arial"/>
              <w:noProof/>
              <w:lang w:eastAsia="en-GB"/>
            </w:rPr>
          </w:pPr>
          <w:hyperlink w:anchor="_Toc73625989" w:history="1">
            <w:r w:rsidRPr="00A20A17">
              <w:rPr>
                <w:rFonts w:ascii="Calibri" w:eastAsia="Calibri" w:hAnsi="Calibri" w:cs="Arial"/>
                <w:noProof/>
                <w:color w:val="0563C1"/>
                <w:u w:val="single"/>
              </w:rPr>
              <w:t>References</w:t>
            </w:r>
            <w:r w:rsidRPr="00A20A17">
              <w:rPr>
                <w:rFonts w:ascii="Calibri" w:eastAsia="Calibri" w:hAnsi="Calibri" w:cs="Arial"/>
                <w:noProof/>
                <w:webHidden/>
              </w:rPr>
              <w:tab/>
            </w:r>
            <w:r w:rsidRPr="00A20A17">
              <w:rPr>
                <w:rFonts w:ascii="Calibri" w:eastAsia="Calibri" w:hAnsi="Calibri" w:cs="Arial"/>
                <w:noProof/>
                <w:webHidden/>
              </w:rPr>
              <w:fldChar w:fldCharType="begin"/>
            </w:r>
            <w:r w:rsidRPr="00A20A17">
              <w:rPr>
                <w:rFonts w:ascii="Calibri" w:eastAsia="Calibri" w:hAnsi="Calibri" w:cs="Arial"/>
                <w:noProof/>
                <w:webHidden/>
              </w:rPr>
              <w:instrText xml:space="preserve"> PAGEREF _Toc73625989 \h </w:instrText>
            </w:r>
            <w:r w:rsidRPr="00A20A17">
              <w:rPr>
                <w:rFonts w:ascii="Calibri" w:eastAsia="Calibri" w:hAnsi="Calibri" w:cs="Arial"/>
                <w:noProof/>
                <w:webHidden/>
              </w:rPr>
            </w:r>
            <w:r w:rsidRPr="00A20A17">
              <w:rPr>
                <w:rFonts w:ascii="Calibri" w:eastAsia="Calibri" w:hAnsi="Calibri" w:cs="Arial"/>
                <w:noProof/>
                <w:webHidden/>
              </w:rPr>
              <w:fldChar w:fldCharType="separate"/>
            </w:r>
            <w:r w:rsidRPr="00A20A17">
              <w:rPr>
                <w:rFonts w:ascii="Calibri" w:eastAsia="Calibri" w:hAnsi="Calibri" w:cs="Arial"/>
                <w:noProof/>
                <w:webHidden/>
              </w:rPr>
              <w:t>34</w:t>
            </w:r>
            <w:r w:rsidRPr="00A20A17">
              <w:rPr>
                <w:rFonts w:ascii="Calibri" w:eastAsia="Calibri" w:hAnsi="Calibri" w:cs="Arial"/>
                <w:noProof/>
                <w:webHidden/>
              </w:rPr>
              <w:fldChar w:fldCharType="end"/>
            </w:r>
          </w:hyperlink>
        </w:p>
        <w:p w14:paraId="636698CC" w14:textId="77777777" w:rsidR="00FE37DB" w:rsidRPr="00A20A17" w:rsidRDefault="00FE37DB" w:rsidP="00FE37DB">
          <w:pPr>
            <w:spacing w:before="120" w:after="120"/>
            <w:rPr>
              <w:rFonts w:ascii="Calibri" w:eastAsia="Calibri" w:hAnsi="Calibri" w:cs="Arial"/>
            </w:rPr>
          </w:pPr>
          <w:r w:rsidRPr="00A20A17">
            <w:rPr>
              <w:rFonts w:ascii="Calibri" w:eastAsia="Calibri" w:hAnsi="Calibri" w:cs="Arial"/>
              <w:b/>
              <w:bCs/>
              <w:noProof/>
            </w:rPr>
            <w:fldChar w:fldCharType="end"/>
          </w:r>
        </w:p>
      </w:sdtContent>
    </w:sdt>
    <w:p w14:paraId="7200B22F" w14:textId="77777777" w:rsidR="00FE37DB" w:rsidRPr="00A20A17" w:rsidRDefault="00FE37DB" w:rsidP="00FE37DB">
      <w:pPr>
        <w:spacing w:before="120" w:after="120"/>
        <w:rPr>
          <w:rFonts w:ascii="Calibri" w:eastAsia="Calibri" w:hAnsi="Calibri" w:cs="Arial"/>
        </w:rPr>
      </w:pPr>
    </w:p>
    <w:p w14:paraId="1FC09A61" w14:textId="77777777" w:rsidR="00FE37DB" w:rsidRPr="00A20A17" w:rsidRDefault="00FE37DB" w:rsidP="00FE37DB">
      <w:pPr>
        <w:spacing w:before="120" w:after="120"/>
        <w:rPr>
          <w:rFonts w:ascii="Calibri" w:eastAsia="Calibri" w:hAnsi="Calibri" w:cs="Arial"/>
        </w:rPr>
      </w:pPr>
    </w:p>
    <w:p w14:paraId="3AEF44E5" w14:textId="77777777" w:rsidR="00FE37DB" w:rsidRPr="00A20A17" w:rsidRDefault="00FE37DB" w:rsidP="00FE37DB">
      <w:pPr>
        <w:spacing w:before="120" w:after="120"/>
        <w:rPr>
          <w:rFonts w:ascii="Calibri" w:eastAsia="Calibri" w:hAnsi="Calibri" w:cs="Arial"/>
        </w:rPr>
      </w:pPr>
      <w:r w:rsidRPr="00A20A17">
        <w:rPr>
          <w:rFonts w:ascii="Calibri" w:eastAsia="Calibri" w:hAnsi="Calibri" w:cs="Arial"/>
        </w:rPr>
        <w:br w:type="page"/>
      </w:r>
    </w:p>
    <w:p w14:paraId="0832CDE0" w14:textId="77777777" w:rsidR="00FE37DB" w:rsidRPr="00A20A17" w:rsidRDefault="00FE37DB" w:rsidP="00FE37DB">
      <w:pPr>
        <w:keepNext/>
        <w:keepLines/>
        <w:numPr>
          <w:ilvl w:val="0"/>
          <w:numId w:val="6"/>
        </w:numPr>
        <w:spacing w:before="240" w:after="240"/>
        <w:ind w:left="0" w:firstLine="0"/>
        <w:outlineLvl w:val="0"/>
        <w:rPr>
          <w:rFonts w:ascii="Calibri Light" w:eastAsia="Calibri Light" w:hAnsi="Calibri Light" w:cs="Times New Roman"/>
          <w:color w:val="2F5496"/>
          <w:sz w:val="32"/>
          <w:szCs w:val="32"/>
        </w:rPr>
      </w:pPr>
      <w:bookmarkStart w:id="1" w:name="_Toc73625970"/>
      <w:r w:rsidRPr="00A20A17">
        <w:rPr>
          <w:rFonts w:ascii="Calibri Light" w:eastAsia="Calibri Light" w:hAnsi="Calibri Light" w:cs="Times New Roman"/>
          <w:color w:val="2F5496"/>
          <w:sz w:val="32"/>
          <w:szCs w:val="32"/>
        </w:rPr>
        <w:lastRenderedPageBreak/>
        <w:t>Model structure</w:t>
      </w:r>
      <w:bookmarkEnd w:id="1"/>
    </w:p>
    <w:p w14:paraId="2010C532" w14:textId="77777777" w:rsidR="00FE37DB" w:rsidRPr="00A20A17" w:rsidRDefault="00FE37DB" w:rsidP="00FE37DB">
      <w:pPr>
        <w:spacing w:after="120" w:line="240" w:lineRule="auto"/>
        <w:rPr>
          <w:rFonts w:ascii="Calibri" w:eastAsia="Calibri" w:hAnsi="Calibri" w:cs="Arial"/>
        </w:rPr>
      </w:pPr>
      <w:r w:rsidRPr="00A20A17">
        <w:rPr>
          <w:rFonts w:ascii="Calibri" w:eastAsia="Calibri" w:hAnsi="Calibri" w:cs="Arial"/>
        </w:rPr>
        <w:t>Similarly to the analysis in the Section 8.2</w:t>
      </w:r>
      <w:r w:rsidRPr="00A20A17">
        <w:rPr>
          <w:rFonts w:ascii="Calibri" w:eastAsia="Calibri" w:hAnsi="Calibri" w:cs="Arial"/>
        </w:rPr>
        <w:fldChar w:fldCharType="begin">
          <w:fldData xml:space="preserve">PEVuZE5vdGU+PENpdGU+PEF1dGhvcj5Ib3ZsYW5kPC9BdXRob3I+PFllYXI+MjAxNzwvWWVhcj48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</w:fldData>
        </w:fldChar>
      </w:r>
      <w:r w:rsidRPr="00A20A17">
        <w:rPr>
          <w:rFonts w:ascii="Calibri" w:eastAsia="Calibri" w:hAnsi="Calibri" w:cs="Arial"/>
        </w:rPr>
        <w:instrText xml:space="preserve"> ADDIN EN.CITE </w:instrText>
      </w:r>
      <w:r w:rsidRPr="00A20A17">
        <w:rPr>
          <w:rFonts w:ascii="Calibri" w:eastAsia="Calibri" w:hAnsi="Calibri" w:cs="Arial"/>
        </w:rPr>
        <w:fldChar w:fldCharType="begin">
          <w:fldData xml:space="preserve">PEVuZE5vdGU+PENpdGU+PEF1dGhvcj5Ib3ZsYW5kPC9BdXRob3I+PFllYXI+MjAxNzwvWWVhcj48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</w:fldData>
        </w:fldChar>
      </w:r>
      <w:r w:rsidRPr="00A20A17">
        <w:rPr>
          <w:rFonts w:ascii="Calibri" w:eastAsia="Calibri" w:hAnsi="Calibri" w:cs="Arial"/>
        </w:rPr>
        <w:instrText xml:space="preserve"> ADDIN EN.CITE.DATA </w:instrText>
      </w:r>
      <w:r w:rsidRPr="00A20A17">
        <w:rPr>
          <w:rFonts w:ascii="Calibri" w:eastAsia="Calibri" w:hAnsi="Calibri" w:cs="Arial"/>
        </w:rPr>
      </w:r>
      <w:r w:rsidRPr="00A20A17">
        <w:rPr>
          <w:rFonts w:ascii="Calibri" w:eastAsia="Calibri" w:hAnsi="Calibri" w:cs="Arial"/>
        </w:rPr>
        <w:fldChar w:fldCharType="end"/>
      </w:r>
      <w:r w:rsidRPr="00A20A17">
        <w:rPr>
          <w:rFonts w:ascii="Calibri" w:eastAsia="Calibri" w:hAnsi="Calibri" w:cs="Arial"/>
        </w:rPr>
      </w:r>
      <w:r w:rsidRPr="00A20A17">
        <w:rPr>
          <w:rFonts w:ascii="Calibri" w:eastAsia="Calibri" w:hAnsi="Calibri" w:cs="Arial"/>
        </w:rPr>
        <w:fldChar w:fldCharType="separate"/>
      </w:r>
      <w:r w:rsidRPr="00A20A17">
        <w:rPr>
          <w:rFonts w:ascii="Calibri" w:eastAsia="Calibri" w:hAnsi="Calibri" w:cs="Arial"/>
          <w:noProof/>
          <w:vertAlign w:val="superscript"/>
        </w:rPr>
        <w:t>1</w:t>
      </w:r>
      <w:r w:rsidRPr="00A20A17">
        <w:rPr>
          <w:rFonts w:ascii="Calibri" w:eastAsia="Calibri" w:hAnsi="Calibri" w:cs="Arial"/>
        </w:rPr>
        <w:fldChar w:fldCharType="end"/>
      </w:r>
      <w:r w:rsidRPr="00A20A17">
        <w:rPr>
          <w:rFonts w:ascii="Calibri" w:eastAsia="Calibri" w:hAnsi="Calibri" w:cs="Arial"/>
        </w:rPr>
        <w:t xml:space="preserve">. Coronary revascularisation was excluded because, as a non-elective procedure for the management of some types of ACS, it will be partly captured in the ACS events; because the effect of coronary revascularisation on the risk of ACS is unclear from the literature </w:t>
      </w:r>
      <w:r w:rsidRPr="00A20A17">
        <w:rPr>
          <w:rFonts w:ascii="Calibri" w:eastAsia="Calibri" w:hAnsi="Calibri" w:cs="Arial"/>
        </w:rPr>
        <w:fldChar w:fldCharType="begin">
          <w:fldData xml:space="preserve">PEVuZE5vdGU+PENpdGU+PEF1dGhvcj5DaGFja288L0F1dGhvcj48WWVhcj4yMDIwPC9ZZWFyPjxJ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==
</w:fldData>
        </w:fldChar>
      </w:r>
      <w:r w:rsidRPr="00A20A17">
        <w:rPr>
          <w:rFonts w:ascii="Calibri" w:eastAsia="Calibri" w:hAnsi="Calibri" w:cs="Arial"/>
        </w:rPr>
        <w:instrText xml:space="preserve"> ADDIN EN.CITE </w:instrText>
      </w:r>
      <w:r w:rsidRPr="00A20A17">
        <w:rPr>
          <w:rFonts w:ascii="Calibri" w:eastAsia="Calibri" w:hAnsi="Calibri" w:cs="Arial"/>
        </w:rPr>
        <w:fldChar w:fldCharType="begin">
          <w:fldData xml:space="preserve">PEVuZE5vdGU+PENpdGU+PEF1dGhvcj5DaGFja288L0F1dGhvcj48WWVhcj4yMDIwPC9ZZWFyPjxJ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==
</w:fldData>
        </w:fldChar>
      </w:r>
      <w:r w:rsidRPr="00A20A17">
        <w:rPr>
          <w:rFonts w:ascii="Calibri" w:eastAsia="Calibri" w:hAnsi="Calibri" w:cs="Arial"/>
        </w:rPr>
        <w:instrText xml:space="preserve"> ADDIN EN.CITE.DATA </w:instrText>
      </w:r>
      <w:r w:rsidRPr="00A20A17">
        <w:rPr>
          <w:rFonts w:ascii="Calibri" w:eastAsia="Calibri" w:hAnsi="Calibri" w:cs="Arial"/>
        </w:rPr>
      </w:r>
      <w:r w:rsidRPr="00A20A17">
        <w:rPr>
          <w:rFonts w:ascii="Calibri" w:eastAsia="Calibri" w:hAnsi="Calibri" w:cs="Arial"/>
        </w:rPr>
        <w:fldChar w:fldCharType="end"/>
      </w:r>
      <w:r w:rsidRPr="00A20A17">
        <w:rPr>
          <w:rFonts w:ascii="Calibri" w:eastAsia="Calibri" w:hAnsi="Calibri" w:cs="Arial"/>
        </w:rPr>
      </w:r>
      <w:r w:rsidRPr="00A20A17">
        <w:rPr>
          <w:rFonts w:ascii="Calibri" w:eastAsia="Calibri" w:hAnsi="Calibri" w:cs="Arial"/>
        </w:rPr>
        <w:fldChar w:fldCharType="separate"/>
      </w:r>
      <w:r w:rsidRPr="00A20A17">
        <w:rPr>
          <w:rFonts w:ascii="Calibri" w:eastAsia="Calibri" w:hAnsi="Calibri" w:cs="Arial"/>
          <w:noProof/>
          <w:vertAlign w:val="superscript"/>
        </w:rPr>
        <w:t>2-5</w:t>
      </w:r>
      <w:r w:rsidRPr="00A20A17">
        <w:rPr>
          <w:rFonts w:ascii="Calibri" w:eastAsia="Calibri" w:hAnsi="Calibri" w:cs="Arial"/>
        </w:rPr>
        <w:fldChar w:fldCharType="end"/>
      </w:r>
      <w:r w:rsidRPr="00A20A17">
        <w:rPr>
          <w:rFonts w:ascii="Calibri" w:eastAsia="Calibri" w:hAnsi="Calibri" w:cs="Arial"/>
        </w:rPr>
        <w:t xml:space="preserve">, and due to lack of evidence on the direction of effect of diagnosis and subsequent LLT on the probability of elective coronary revascularisation.  </w:t>
      </w:r>
    </w:p>
    <w:p w14:paraId="3E69D932" w14:textId="77777777" w:rsidR="00FE37DB" w:rsidRPr="00A20A17" w:rsidRDefault="00FE37DB" w:rsidP="00FE37DB">
      <w:pPr>
        <w:spacing w:after="120" w:line="240" w:lineRule="auto"/>
        <w:rPr>
          <w:rFonts w:ascii="Calibri" w:eastAsia="Calibri" w:hAnsi="Calibri" w:cs="Arial"/>
        </w:rPr>
      </w:pPr>
      <w:r w:rsidRPr="00A20A17">
        <w:rPr>
          <w:rFonts w:ascii="Calibri" w:eastAsia="Calibri" w:hAnsi="Calibri" w:cs="Arial"/>
        </w:rPr>
        <w:t xml:space="preserve">The model does not consider recurring events explicitly, in contrast with some of the previous cost-effectiveness models in both people with FH </w:t>
      </w:r>
      <w:r w:rsidRPr="00A20A17">
        <w:rPr>
          <w:rFonts w:ascii="Calibri" w:eastAsia="Calibri" w:hAnsi="Calibri" w:cs="Arial"/>
        </w:rPr>
        <w:fldChar w:fldCharType="begin">
          <w:fldData xml:space="preserve">PEVuZE5vdGU+PENpdGU+PEF1dGhvcj5OSUNFPC9BdXRob3I+PFllYXI+MjAxOTwvWWVhcj48SURU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</w:fldData>
        </w:fldChar>
      </w:r>
      <w:r w:rsidRPr="00A20A17">
        <w:rPr>
          <w:rFonts w:ascii="Calibri" w:eastAsia="Calibri" w:hAnsi="Calibri" w:cs="Arial"/>
        </w:rPr>
        <w:instrText xml:space="preserve"> ADDIN EN.CITE </w:instrText>
      </w:r>
      <w:r w:rsidRPr="00A20A17">
        <w:rPr>
          <w:rFonts w:ascii="Calibri" w:eastAsia="Calibri" w:hAnsi="Calibri" w:cs="Arial"/>
        </w:rPr>
        <w:fldChar w:fldCharType="begin">
          <w:fldData xml:space="preserve">PEVuZE5vdGU+PENpdGU+PEF1dGhvcj5OSUNFPC9BdXRob3I+PFllYXI+MjAxOTwvWWVhcj48SURU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</w:fldData>
        </w:fldChar>
      </w:r>
      <w:r w:rsidRPr="00A20A17">
        <w:rPr>
          <w:rFonts w:ascii="Calibri" w:eastAsia="Calibri" w:hAnsi="Calibri" w:cs="Arial"/>
        </w:rPr>
        <w:instrText xml:space="preserve"> ADDIN EN.CITE.DATA </w:instrText>
      </w:r>
      <w:r w:rsidRPr="00A20A17">
        <w:rPr>
          <w:rFonts w:ascii="Calibri" w:eastAsia="Calibri" w:hAnsi="Calibri" w:cs="Arial"/>
        </w:rPr>
      </w:r>
      <w:r w:rsidRPr="00A20A17">
        <w:rPr>
          <w:rFonts w:ascii="Calibri" w:eastAsia="Calibri" w:hAnsi="Calibri" w:cs="Arial"/>
        </w:rPr>
        <w:fldChar w:fldCharType="end"/>
      </w:r>
      <w:r w:rsidRPr="00A20A17">
        <w:rPr>
          <w:rFonts w:ascii="Calibri" w:eastAsia="Calibri" w:hAnsi="Calibri" w:cs="Arial"/>
        </w:rPr>
      </w:r>
      <w:r w:rsidRPr="00A20A17">
        <w:rPr>
          <w:rFonts w:ascii="Calibri" w:eastAsia="Calibri" w:hAnsi="Calibri" w:cs="Arial"/>
        </w:rPr>
        <w:fldChar w:fldCharType="separate"/>
      </w:r>
      <w:r w:rsidRPr="00A20A17">
        <w:rPr>
          <w:rFonts w:ascii="Calibri" w:eastAsia="Calibri" w:hAnsi="Calibri" w:cs="Arial"/>
          <w:noProof/>
          <w:vertAlign w:val="superscript"/>
        </w:rPr>
        <w:t>6-10</w:t>
      </w:r>
      <w:r w:rsidRPr="00A20A17">
        <w:rPr>
          <w:rFonts w:ascii="Calibri" w:eastAsia="Calibri" w:hAnsi="Calibri" w:cs="Arial"/>
        </w:rPr>
        <w:fldChar w:fldCharType="end"/>
      </w:r>
      <w:r w:rsidRPr="00A20A17">
        <w:rPr>
          <w:rFonts w:ascii="Calibri" w:eastAsia="Calibri" w:hAnsi="Calibri" w:cs="Arial"/>
        </w:rPr>
        <w:t xml:space="preserve"> and in the general population </w:t>
      </w:r>
      <w:r w:rsidRPr="00A20A17">
        <w:rPr>
          <w:rFonts w:ascii="Calibri" w:eastAsia="Calibri" w:hAnsi="Calibri" w:cs="Arial"/>
        </w:rPr>
        <w:fldChar w:fldCharType="begin">
          <w:fldData xml:space="preserve">PEVuZE5vdGU+PENpdGU+PEF1dGhvcj5OSUNFPC9BdXRob3I+PFllYXI+MjAwNjwvWWVhcj48SURU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=
</w:fldData>
        </w:fldChar>
      </w:r>
      <w:r w:rsidRPr="00A20A17">
        <w:rPr>
          <w:rFonts w:ascii="Calibri" w:eastAsia="Calibri" w:hAnsi="Calibri" w:cs="Arial"/>
        </w:rPr>
        <w:instrText xml:space="preserve"> ADDIN EN.CITE </w:instrText>
      </w:r>
      <w:r w:rsidRPr="00A20A17">
        <w:rPr>
          <w:rFonts w:ascii="Calibri" w:eastAsia="Calibri" w:hAnsi="Calibri" w:cs="Arial"/>
        </w:rPr>
        <w:fldChar w:fldCharType="begin">
          <w:fldData xml:space="preserve">PEVuZE5vdGU+PENpdGU+PEF1dGhvcj5OSUNFPC9BdXRob3I+PFllYXI+MjAwNjwvWWVhcj48SURU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=
</w:fldData>
        </w:fldChar>
      </w:r>
      <w:r w:rsidRPr="00A20A17">
        <w:rPr>
          <w:rFonts w:ascii="Calibri" w:eastAsia="Calibri" w:hAnsi="Calibri" w:cs="Arial"/>
        </w:rPr>
        <w:instrText xml:space="preserve"> ADDIN EN.CITE.DATA </w:instrText>
      </w:r>
      <w:r w:rsidRPr="00A20A17">
        <w:rPr>
          <w:rFonts w:ascii="Calibri" w:eastAsia="Calibri" w:hAnsi="Calibri" w:cs="Arial"/>
        </w:rPr>
      </w:r>
      <w:r w:rsidRPr="00A20A17">
        <w:rPr>
          <w:rFonts w:ascii="Calibri" w:eastAsia="Calibri" w:hAnsi="Calibri" w:cs="Arial"/>
        </w:rPr>
        <w:fldChar w:fldCharType="end"/>
      </w:r>
      <w:r w:rsidRPr="00A20A17">
        <w:rPr>
          <w:rFonts w:ascii="Calibri" w:eastAsia="Calibri" w:hAnsi="Calibri" w:cs="Arial"/>
        </w:rPr>
      </w:r>
      <w:r w:rsidRPr="00A20A17">
        <w:rPr>
          <w:rFonts w:ascii="Calibri" w:eastAsia="Calibri" w:hAnsi="Calibri" w:cs="Arial"/>
        </w:rPr>
        <w:fldChar w:fldCharType="separate"/>
      </w:r>
      <w:r w:rsidRPr="00A20A17">
        <w:rPr>
          <w:rFonts w:ascii="Calibri" w:eastAsia="Calibri" w:hAnsi="Calibri" w:cs="Arial"/>
          <w:noProof/>
          <w:vertAlign w:val="superscript"/>
        </w:rPr>
        <w:t>11-14</w:t>
      </w:r>
      <w:r w:rsidRPr="00A20A17">
        <w:rPr>
          <w:rFonts w:ascii="Calibri" w:eastAsia="Calibri" w:hAnsi="Calibri" w:cs="Arial"/>
        </w:rPr>
        <w:fldChar w:fldCharType="end"/>
      </w:r>
      <w:r w:rsidRPr="00A20A17">
        <w:rPr>
          <w:rFonts w:ascii="Calibri" w:eastAsia="Calibri" w:hAnsi="Calibri" w:cs="Arial"/>
        </w:rPr>
        <w:t xml:space="preserve">  . We took this approach given the limited data on recurrent events from the CPRD cohort, and because the purpose of our model is to capture the impact of diagnosis, which is primarily in individuals who have not yet experienced a CV event. Once individuals have experienced a CV event, the role of diagnosis is likely to be less important as individuals with CV history will generally be in receipt of LLT.</w:t>
      </w:r>
    </w:p>
    <w:p w14:paraId="7DBE1852" w14:textId="77777777" w:rsidR="00FE37DB" w:rsidRPr="00A20A17" w:rsidRDefault="00FE37DB" w:rsidP="00FE37DB">
      <w:pPr>
        <w:keepNext/>
        <w:keepLines/>
        <w:numPr>
          <w:ilvl w:val="0"/>
          <w:numId w:val="6"/>
        </w:numPr>
        <w:spacing w:before="240" w:after="240"/>
        <w:ind w:left="0" w:firstLine="0"/>
        <w:outlineLvl w:val="0"/>
        <w:rPr>
          <w:rFonts w:ascii="Calibri Light" w:eastAsia="Calibri Light" w:hAnsi="Calibri Light" w:cs="Times New Roman"/>
          <w:color w:val="2F5496"/>
          <w:sz w:val="32"/>
          <w:szCs w:val="32"/>
        </w:rPr>
      </w:pPr>
      <w:bookmarkStart w:id="2" w:name="_Toc73625971"/>
      <w:r w:rsidRPr="00A20A17">
        <w:rPr>
          <w:rFonts w:ascii="Calibri Light" w:eastAsia="Calibri Light" w:hAnsi="Calibri Light" w:cs="Times New Roman"/>
          <w:color w:val="2F5496"/>
          <w:sz w:val="32"/>
          <w:szCs w:val="32"/>
        </w:rPr>
        <w:t>Model inputs</w:t>
      </w:r>
      <w:bookmarkEnd w:id="2"/>
    </w:p>
    <w:p w14:paraId="00B7F4BC" w14:textId="77777777" w:rsidR="00FE37DB" w:rsidRPr="00A20A17" w:rsidRDefault="00FE37DB" w:rsidP="00FE37DB">
      <w:pPr>
        <w:keepNext/>
        <w:keepLines/>
        <w:spacing w:before="240" w:after="120"/>
        <w:outlineLvl w:val="1"/>
        <w:rPr>
          <w:rFonts w:ascii="Calibri Light" w:eastAsia="Calibri Light" w:hAnsi="Calibri Light" w:cs="Times New Roman"/>
          <w:color w:val="2F5496"/>
          <w:sz w:val="26"/>
          <w:szCs w:val="26"/>
        </w:rPr>
      </w:pPr>
      <w:bookmarkStart w:id="3" w:name="_Toc73625972"/>
      <w:r w:rsidRPr="00A20A17">
        <w:rPr>
          <w:rFonts w:ascii="Calibri Light" w:eastAsia="Calibri Light" w:hAnsi="Calibri Light" w:cs="Times New Roman"/>
          <w:color w:val="2F5496"/>
          <w:sz w:val="26"/>
          <w:szCs w:val="26"/>
        </w:rPr>
        <w:t>Effect of diagnosis on cholesterol</w:t>
      </w:r>
      <w:bookmarkEnd w:id="3"/>
    </w:p>
    <w:p w14:paraId="2C3475FD" w14:textId="77777777" w:rsidR="00FE37DB" w:rsidRPr="00A20A17" w:rsidRDefault="00FE37DB" w:rsidP="00FE37DB">
      <w:pPr>
        <w:keepNext/>
        <w:spacing w:before="120"/>
        <w:rPr>
          <w:rFonts w:ascii="Calibri" w:eastAsia="Calibri" w:hAnsi="Calibri" w:cs="Arial"/>
          <w:i/>
          <w:iCs/>
          <w:color w:val="44546A"/>
          <w:sz w:val="18"/>
          <w:szCs w:val="18"/>
        </w:rPr>
      </w:pPr>
      <w:r w:rsidRPr="00A20A17">
        <w:rPr>
          <w:rFonts w:ascii="Calibri" w:eastAsia="Calibri" w:hAnsi="Calibri" w:cs="Arial"/>
          <w:i/>
          <w:iCs/>
          <w:color w:val="44546A"/>
          <w:sz w:val="18"/>
          <w:szCs w:val="18"/>
        </w:rPr>
        <w:t xml:space="preserve">Table </w:t>
      </w:r>
      <w:r w:rsidRPr="00A20A17">
        <w:rPr>
          <w:rFonts w:ascii="Calibri" w:eastAsia="Calibri" w:hAnsi="Calibri" w:cs="Arial"/>
          <w:i/>
          <w:iCs/>
          <w:color w:val="44546A"/>
          <w:sz w:val="18"/>
          <w:szCs w:val="18"/>
        </w:rPr>
        <w:fldChar w:fldCharType="begin"/>
      </w:r>
      <w:r w:rsidRPr="00A20A17">
        <w:rPr>
          <w:rFonts w:ascii="Calibri" w:eastAsia="Calibri" w:hAnsi="Calibri" w:cs="Arial"/>
          <w:i/>
          <w:iCs/>
          <w:color w:val="44546A"/>
          <w:sz w:val="18"/>
          <w:szCs w:val="18"/>
        </w:rPr>
        <w:instrText>SEQ Table \* ARABIC</w:instrText>
      </w:r>
      <w:r w:rsidRPr="00A20A17">
        <w:rPr>
          <w:rFonts w:ascii="Calibri" w:eastAsia="Calibri" w:hAnsi="Calibri" w:cs="Arial"/>
          <w:i/>
          <w:iCs/>
          <w:color w:val="44546A"/>
          <w:sz w:val="18"/>
          <w:szCs w:val="18"/>
        </w:rPr>
        <w:fldChar w:fldCharType="separate"/>
      </w:r>
      <w:r w:rsidRPr="00A20A17">
        <w:rPr>
          <w:rFonts w:ascii="Calibri" w:eastAsia="Calibri" w:hAnsi="Calibri" w:cs="Arial"/>
          <w:i/>
          <w:iCs/>
          <w:noProof/>
          <w:color w:val="44546A"/>
          <w:sz w:val="18"/>
          <w:szCs w:val="18"/>
        </w:rPr>
        <w:t>1</w:t>
      </w:r>
      <w:r w:rsidRPr="00A20A17">
        <w:rPr>
          <w:rFonts w:ascii="Calibri" w:eastAsia="Calibri" w:hAnsi="Calibri" w:cs="Arial"/>
          <w:i/>
          <w:iCs/>
          <w:color w:val="44546A"/>
          <w:sz w:val="18"/>
          <w:szCs w:val="18"/>
        </w:rPr>
        <w:fldChar w:fldCharType="end"/>
      </w:r>
      <w:r w:rsidRPr="00A20A17">
        <w:rPr>
          <w:rFonts w:ascii="Calibri" w:eastAsia="Calibri" w:hAnsi="Calibri" w:cs="Arial"/>
          <w:i/>
          <w:iCs/>
          <w:color w:val="44546A"/>
          <w:sz w:val="18"/>
          <w:szCs w:val="18"/>
        </w:rPr>
        <w:t>: Effect of diagnosis on low-density lipoprotein cholesterol</w:t>
      </w:r>
    </w:p>
    <w:tbl>
      <w:tblPr>
        <w:tblStyle w:val="TableGrid21"/>
        <w:tblW w:w="0" w:type="auto"/>
        <w:tblLook w:val="04A0" w:firstRow="1" w:lastRow="0" w:firstColumn="1" w:lastColumn="0" w:noHBand="0" w:noVBand="1"/>
      </w:tblPr>
      <w:tblGrid>
        <w:gridCol w:w="6067"/>
        <w:gridCol w:w="815"/>
        <w:gridCol w:w="1136"/>
        <w:gridCol w:w="998"/>
      </w:tblGrid>
      <w:tr w:rsidR="00FE37DB" w:rsidRPr="00A20A17" w14:paraId="077EFA7D" w14:textId="77777777" w:rsidTr="00A80B48">
        <w:trPr>
          <w:trHeight w:val="315"/>
        </w:trPr>
        <w:tc>
          <w:tcPr>
            <w:tcW w:w="6067" w:type="dxa"/>
            <w:shd w:val="clear" w:color="auto" w:fill="auto"/>
            <w:noWrap/>
            <w:vAlign w:val="center"/>
          </w:tcPr>
          <w:p w14:paraId="739F2C65" w14:textId="77777777" w:rsidR="00FE37DB" w:rsidRPr="00A20A17" w:rsidRDefault="00FE37DB" w:rsidP="00A80B48">
            <w:pPr>
              <w:spacing w:after="0" w:line="240" w:lineRule="auto"/>
              <w:jc w:val="center"/>
              <w:rPr>
                <w:rFonts w:ascii="Calibri" w:hAnsi="Calibri" w:cs="Calibri"/>
                <w:color w:val="000000"/>
                <w:lang w:eastAsia="en-GB"/>
              </w:rPr>
            </w:pPr>
            <w:r w:rsidRPr="00A20A17">
              <w:rPr>
                <w:rFonts w:ascii="Calibri" w:hAnsi="Calibri" w:cs="Calibri"/>
                <w:color w:val="000000"/>
                <w:lang w:eastAsia="en-GB"/>
              </w:rPr>
              <w:t>Relative reduction in low-density lipoprotein cholesterol</w:t>
            </w:r>
          </w:p>
        </w:tc>
        <w:tc>
          <w:tcPr>
            <w:tcW w:w="732" w:type="dxa"/>
            <w:shd w:val="clear" w:color="auto" w:fill="auto"/>
            <w:noWrap/>
            <w:vAlign w:val="center"/>
          </w:tcPr>
          <w:p w14:paraId="3C7720F4" w14:textId="77777777" w:rsidR="00FE37DB" w:rsidRPr="00A20A17" w:rsidRDefault="00FE37DB" w:rsidP="00A80B48">
            <w:pPr>
              <w:spacing w:after="0" w:line="240" w:lineRule="auto"/>
              <w:jc w:val="center"/>
              <w:rPr>
                <w:rFonts w:ascii="Calibri" w:hAnsi="Calibri" w:cs="Calibri"/>
                <w:color w:val="000000"/>
                <w:lang w:eastAsia="en-GB"/>
              </w:rPr>
            </w:pPr>
            <w:r w:rsidRPr="00A20A17">
              <w:rPr>
                <w:rFonts w:ascii="Calibri" w:hAnsi="Calibri" w:cs="Calibri"/>
                <w:color w:val="000000"/>
                <w:lang w:eastAsia="en-GB"/>
              </w:rPr>
              <w:t>Average</w:t>
            </w:r>
          </w:p>
        </w:tc>
        <w:tc>
          <w:tcPr>
            <w:tcW w:w="1222" w:type="dxa"/>
          </w:tcPr>
          <w:p w14:paraId="4138156B" w14:textId="77777777" w:rsidR="00FE37DB" w:rsidRPr="00A20A17" w:rsidRDefault="00FE37DB" w:rsidP="00A80B48">
            <w:pPr>
              <w:spacing w:after="0" w:line="240" w:lineRule="auto"/>
              <w:jc w:val="center"/>
              <w:rPr>
                <w:rFonts w:ascii="Calibri" w:hAnsi="Calibri" w:cs="Calibri"/>
                <w:color w:val="000000"/>
                <w:lang w:eastAsia="en-GB"/>
              </w:rPr>
            </w:pPr>
            <w:r w:rsidRPr="00A20A17">
              <w:rPr>
                <w:rFonts w:ascii="Calibri" w:hAnsi="Calibri" w:cs="Calibri"/>
                <w:color w:val="000000"/>
                <w:lang w:eastAsia="en-GB"/>
              </w:rPr>
              <w:t>Standard error</w:t>
            </w:r>
          </w:p>
        </w:tc>
        <w:tc>
          <w:tcPr>
            <w:tcW w:w="0" w:type="auto"/>
          </w:tcPr>
          <w:p w14:paraId="1F9A8F7A" w14:textId="77777777" w:rsidR="00FE37DB" w:rsidRPr="00A20A17" w:rsidRDefault="00FE37DB" w:rsidP="00A80B48">
            <w:pPr>
              <w:spacing w:after="0" w:line="240" w:lineRule="auto"/>
              <w:jc w:val="center"/>
              <w:rPr>
                <w:rFonts w:ascii="Calibri" w:hAnsi="Calibri" w:cs="Calibri"/>
                <w:color w:val="000000"/>
                <w:lang w:eastAsia="en-GB"/>
              </w:rPr>
            </w:pPr>
            <w:r w:rsidRPr="00A20A17">
              <w:rPr>
                <w:rFonts w:ascii="Calibri" w:hAnsi="Calibri" w:cs="Calibri"/>
                <w:color w:val="000000"/>
                <w:lang w:eastAsia="en-GB"/>
              </w:rPr>
              <w:t>Number of individuals</w:t>
            </w:r>
          </w:p>
        </w:tc>
      </w:tr>
      <w:tr w:rsidR="00FE37DB" w:rsidRPr="00A20A17" w14:paraId="3E359D45" w14:textId="77777777" w:rsidTr="00A80B48">
        <w:trPr>
          <w:trHeight w:val="300"/>
        </w:trPr>
        <w:tc>
          <w:tcPr>
            <w:tcW w:w="6067" w:type="dxa"/>
            <w:shd w:val="clear" w:color="auto" w:fill="auto"/>
            <w:noWrap/>
            <w:vAlign w:val="center"/>
          </w:tcPr>
          <w:p w14:paraId="2D5C459C" w14:textId="77777777" w:rsidR="00FE37DB" w:rsidRPr="00A20A17" w:rsidRDefault="00FE37DB" w:rsidP="00A80B48">
            <w:pPr>
              <w:spacing w:after="0" w:line="240" w:lineRule="auto"/>
              <w:rPr>
                <w:rFonts w:ascii="Calibri" w:hAnsi="Calibri" w:cs="Calibri"/>
                <w:color w:val="000000"/>
                <w:lang w:eastAsia="en-GB"/>
              </w:rPr>
            </w:pPr>
            <w:r w:rsidRPr="00A20A17">
              <w:rPr>
                <w:rFonts w:ascii="Calibri" w:hAnsi="Calibri" w:cs="Calibri"/>
                <w:color w:val="000000"/>
                <w:lang w:eastAsia="en-GB"/>
              </w:rPr>
              <w:t>In the newly treated individuals following diagnosis for familial hypercholesterolaemia</w:t>
            </w:r>
          </w:p>
        </w:tc>
        <w:tc>
          <w:tcPr>
            <w:tcW w:w="732" w:type="dxa"/>
            <w:shd w:val="clear" w:color="auto" w:fill="auto"/>
            <w:noWrap/>
            <w:vAlign w:val="center"/>
          </w:tcPr>
          <w:p w14:paraId="47E72DFD"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32.60%</w:t>
            </w:r>
          </w:p>
        </w:tc>
        <w:tc>
          <w:tcPr>
            <w:tcW w:w="1222" w:type="dxa"/>
            <w:vAlign w:val="center"/>
          </w:tcPr>
          <w:p w14:paraId="0ADC2538"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0.89%</w:t>
            </w:r>
          </w:p>
        </w:tc>
        <w:tc>
          <w:tcPr>
            <w:tcW w:w="0" w:type="auto"/>
            <w:vAlign w:val="center"/>
          </w:tcPr>
          <w:p w14:paraId="3A8C94CF"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1291</w:t>
            </w:r>
          </w:p>
        </w:tc>
      </w:tr>
      <w:tr w:rsidR="00FE37DB" w:rsidRPr="00A20A17" w14:paraId="6CCBFD56" w14:textId="77777777" w:rsidTr="00A80B48">
        <w:trPr>
          <w:trHeight w:val="300"/>
        </w:trPr>
        <w:tc>
          <w:tcPr>
            <w:tcW w:w="6067" w:type="dxa"/>
            <w:shd w:val="clear" w:color="auto" w:fill="auto"/>
            <w:noWrap/>
            <w:vAlign w:val="center"/>
          </w:tcPr>
          <w:p w14:paraId="29DF3244" w14:textId="77777777" w:rsidR="00FE37DB" w:rsidRPr="00A20A17" w:rsidRDefault="00FE37DB" w:rsidP="00A80B48">
            <w:pPr>
              <w:spacing w:after="0" w:line="240" w:lineRule="auto"/>
              <w:rPr>
                <w:rFonts w:ascii="Calibri" w:hAnsi="Calibri" w:cs="Calibri"/>
                <w:color w:val="000000"/>
                <w:lang w:eastAsia="en-GB"/>
              </w:rPr>
            </w:pPr>
            <w:r w:rsidRPr="00A20A17">
              <w:rPr>
                <w:rFonts w:ascii="Calibri" w:hAnsi="Calibri" w:cs="Calibri"/>
                <w:color w:val="000000"/>
                <w:lang w:eastAsia="en-GB"/>
              </w:rPr>
              <w:t>In those who started treatment prior diagnosis for familial hypercholesterolaemia</w:t>
            </w:r>
          </w:p>
        </w:tc>
        <w:tc>
          <w:tcPr>
            <w:tcW w:w="732" w:type="dxa"/>
            <w:shd w:val="clear" w:color="auto" w:fill="auto"/>
            <w:noWrap/>
            <w:vAlign w:val="center"/>
          </w:tcPr>
          <w:p w14:paraId="72981824"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34.50%</w:t>
            </w:r>
          </w:p>
        </w:tc>
        <w:tc>
          <w:tcPr>
            <w:tcW w:w="1222" w:type="dxa"/>
            <w:vAlign w:val="center"/>
          </w:tcPr>
          <w:p w14:paraId="4FE31B2F"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0.97%</w:t>
            </w:r>
          </w:p>
        </w:tc>
        <w:tc>
          <w:tcPr>
            <w:tcW w:w="0" w:type="auto"/>
            <w:vAlign w:val="center"/>
          </w:tcPr>
          <w:p w14:paraId="5696A886"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844</w:t>
            </w:r>
          </w:p>
        </w:tc>
      </w:tr>
      <w:tr w:rsidR="00FE37DB" w:rsidRPr="00A20A17" w14:paraId="66835685" w14:textId="77777777" w:rsidTr="00A80B48">
        <w:trPr>
          <w:trHeight w:val="300"/>
        </w:trPr>
        <w:tc>
          <w:tcPr>
            <w:tcW w:w="0" w:type="auto"/>
            <w:gridSpan w:val="4"/>
            <w:shd w:val="clear" w:color="auto" w:fill="auto"/>
            <w:noWrap/>
            <w:vAlign w:val="center"/>
          </w:tcPr>
          <w:p w14:paraId="68C2B238" w14:textId="77777777" w:rsidR="00FE37DB" w:rsidRPr="00A20A17" w:rsidRDefault="00FE37DB" w:rsidP="00A80B48">
            <w:pPr>
              <w:spacing w:after="0" w:line="240" w:lineRule="auto"/>
              <w:rPr>
                <w:rFonts w:ascii="Calibri" w:hAnsi="Calibri" w:cs="Calibri"/>
                <w:color w:val="000000"/>
                <w:lang w:eastAsia="en-GB"/>
              </w:rPr>
            </w:pPr>
            <w:r w:rsidRPr="00A20A17">
              <w:rPr>
                <w:rFonts w:ascii="Calibri" w:hAnsi="Calibri" w:cs="Calibri"/>
                <w:color w:val="000000"/>
                <w:lang w:eastAsia="en-GB"/>
              </w:rPr>
              <w:t>Source: Analysis of CPRD data (see Chapter [CPRD])</w:t>
            </w:r>
          </w:p>
          <w:p w14:paraId="103BF06E" w14:textId="77777777" w:rsidR="00FE37DB" w:rsidRPr="00A20A17" w:rsidRDefault="00FE37DB" w:rsidP="00A80B48">
            <w:pPr>
              <w:spacing w:after="0" w:line="240" w:lineRule="auto"/>
              <w:rPr>
                <w:rFonts w:ascii="Calibri" w:hAnsi="Calibri" w:cs="Calibri"/>
                <w:color w:val="000000"/>
                <w:lang w:eastAsia="en-GB"/>
              </w:rPr>
            </w:pPr>
            <w:r w:rsidRPr="00A20A17">
              <w:rPr>
                <w:rFonts w:ascii="Calibri" w:hAnsi="Calibri" w:cs="Calibri"/>
                <w:color w:val="000000"/>
                <w:lang w:eastAsia="en-GB"/>
              </w:rPr>
              <w:t>Distribution for probabilistic sensitivity analysis: normal for relative reduction; beta for proportion of individuals.</w:t>
            </w:r>
          </w:p>
        </w:tc>
      </w:tr>
    </w:tbl>
    <w:p w14:paraId="579B0CBF" w14:textId="77777777" w:rsidR="00FE37DB" w:rsidRPr="00A20A17" w:rsidRDefault="00FE37DB" w:rsidP="00FE37DB">
      <w:pPr>
        <w:spacing w:before="120" w:after="120"/>
        <w:rPr>
          <w:rFonts w:ascii="Calibri" w:eastAsia="Calibri" w:hAnsi="Calibri" w:cs="Arial"/>
        </w:rPr>
      </w:pPr>
    </w:p>
    <w:p w14:paraId="7244F2D2" w14:textId="77777777" w:rsidR="00FE37DB" w:rsidRPr="00A20A17" w:rsidRDefault="00FE37DB" w:rsidP="00FE37DB">
      <w:pPr>
        <w:keepNext/>
        <w:keepLines/>
        <w:spacing w:before="240" w:after="120"/>
        <w:outlineLvl w:val="1"/>
        <w:rPr>
          <w:rFonts w:ascii="Calibri Light" w:eastAsia="Calibri Light" w:hAnsi="Calibri Light" w:cs="Times New Roman"/>
          <w:color w:val="2F5496"/>
          <w:sz w:val="26"/>
          <w:szCs w:val="26"/>
        </w:rPr>
      </w:pPr>
      <w:bookmarkStart w:id="4" w:name="_Toc73625973"/>
      <w:r w:rsidRPr="00A20A17">
        <w:rPr>
          <w:rFonts w:ascii="Calibri Light" w:eastAsia="Calibri Light" w:hAnsi="Calibri Light" w:cs="Times New Roman"/>
          <w:color w:val="2F5496"/>
          <w:sz w:val="26"/>
          <w:szCs w:val="26"/>
        </w:rPr>
        <w:t>Risk of first major cardiovascular event</w:t>
      </w:r>
      <w:bookmarkEnd w:id="4"/>
    </w:p>
    <w:p w14:paraId="5A2450A8" w14:textId="77777777" w:rsidR="00FE37DB" w:rsidRPr="00A20A17" w:rsidRDefault="00FE37DB" w:rsidP="00FE37DB">
      <w:pPr>
        <w:keepNext/>
        <w:spacing w:before="120"/>
        <w:rPr>
          <w:rFonts w:ascii="Calibri" w:eastAsia="Calibri" w:hAnsi="Calibri" w:cs="Arial"/>
          <w:i/>
          <w:iCs/>
          <w:color w:val="44546A"/>
          <w:sz w:val="18"/>
          <w:szCs w:val="18"/>
        </w:rPr>
      </w:pPr>
      <w:r w:rsidRPr="00A20A17">
        <w:rPr>
          <w:rFonts w:ascii="Calibri" w:eastAsia="Calibri" w:hAnsi="Calibri" w:cs="Arial"/>
          <w:i/>
          <w:iCs/>
          <w:color w:val="44546A"/>
          <w:sz w:val="18"/>
          <w:szCs w:val="18"/>
        </w:rPr>
        <w:t xml:space="preserve">Table </w:t>
      </w:r>
      <w:r w:rsidRPr="00A20A17">
        <w:rPr>
          <w:rFonts w:ascii="Calibri" w:eastAsia="Calibri" w:hAnsi="Calibri" w:cs="Arial"/>
          <w:i/>
          <w:iCs/>
          <w:color w:val="44546A"/>
          <w:sz w:val="18"/>
          <w:szCs w:val="18"/>
        </w:rPr>
        <w:fldChar w:fldCharType="begin"/>
      </w:r>
      <w:r w:rsidRPr="00A20A17">
        <w:rPr>
          <w:rFonts w:ascii="Calibri" w:eastAsia="Calibri" w:hAnsi="Calibri" w:cs="Arial"/>
          <w:i/>
          <w:iCs/>
          <w:color w:val="44546A"/>
          <w:sz w:val="18"/>
          <w:szCs w:val="18"/>
        </w:rPr>
        <w:instrText>SEQ Table \* ARABIC</w:instrText>
      </w:r>
      <w:r w:rsidRPr="00A20A17">
        <w:rPr>
          <w:rFonts w:ascii="Calibri" w:eastAsia="Calibri" w:hAnsi="Calibri" w:cs="Arial"/>
          <w:i/>
          <w:iCs/>
          <w:color w:val="44546A"/>
          <w:sz w:val="18"/>
          <w:szCs w:val="18"/>
        </w:rPr>
        <w:fldChar w:fldCharType="separate"/>
      </w:r>
      <w:r w:rsidRPr="00A20A17">
        <w:rPr>
          <w:rFonts w:ascii="Calibri" w:eastAsia="Calibri" w:hAnsi="Calibri" w:cs="Arial"/>
          <w:i/>
          <w:iCs/>
          <w:noProof/>
          <w:color w:val="44546A"/>
          <w:sz w:val="18"/>
          <w:szCs w:val="18"/>
        </w:rPr>
        <w:t>2</w:t>
      </w:r>
      <w:r w:rsidRPr="00A20A17">
        <w:rPr>
          <w:rFonts w:ascii="Calibri" w:eastAsia="Calibri" w:hAnsi="Calibri" w:cs="Arial"/>
          <w:i/>
          <w:iCs/>
          <w:color w:val="44546A"/>
          <w:sz w:val="18"/>
          <w:szCs w:val="18"/>
        </w:rPr>
        <w:fldChar w:fldCharType="end"/>
      </w:r>
      <w:r w:rsidRPr="00A20A17">
        <w:rPr>
          <w:rFonts w:ascii="Calibri" w:eastAsia="Calibri" w:hAnsi="Calibri" w:cs="Arial"/>
          <w:i/>
          <w:iCs/>
          <w:color w:val="44546A"/>
          <w:sz w:val="18"/>
          <w:szCs w:val="18"/>
        </w:rPr>
        <w:t>: Coefficients of risk equations used in the cost-effectiveness model</w:t>
      </w:r>
    </w:p>
    <w:tbl>
      <w:tblPr>
        <w:tblStyle w:val="TableGrid21"/>
        <w:tblW w:w="5000" w:type="pct"/>
        <w:tblLook w:val="04A0" w:firstRow="1" w:lastRow="0" w:firstColumn="1" w:lastColumn="0" w:noHBand="0" w:noVBand="1"/>
      </w:tblPr>
      <w:tblGrid>
        <w:gridCol w:w="3924"/>
        <w:gridCol w:w="2413"/>
        <w:gridCol w:w="2679"/>
      </w:tblGrid>
      <w:tr w:rsidR="00FE37DB" w:rsidRPr="00A20A17" w14:paraId="790371B1" w14:textId="77777777" w:rsidTr="00A80B48">
        <w:trPr>
          <w:trHeight w:val="300"/>
        </w:trPr>
        <w:tc>
          <w:tcPr>
            <w:tcW w:w="2181" w:type="pct"/>
            <w:vMerge w:val="restart"/>
            <w:shd w:val="clear" w:color="auto" w:fill="auto"/>
            <w:noWrap/>
            <w:hideMark/>
          </w:tcPr>
          <w:p w14:paraId="3E372C4D" w14:textId="77777777" w:rsidR="00FE37DB" w:rsidRPr="00A20A17" w:rsidRDefault="00FE37DB" w:rsidP="00A80B48">
            <w:pPr>
              <w:spacing w:after="0" w:line="240" w:lineRule="auto"/>
              <w:jc w:val="center"/>
              <w:rPr>
                <w:rFonts w:ascii="Calibri" w:hAnsi="Calibri" w:cs="Calibri"/>
                <w:b/>
                <w:bCs/>
                <w:color w:val="000000"/>
                <w:lang w:eastAsia="en-GB"/>
              </w:rPr>
            </w:pPr>
            <w:r w:rsidRPr="00A20A17">
              <w:rPr>
                <w:rFonts w:ascii="Calibri" w:hAnsi="Calibri" w:cs="Calibri"/>
                <w:b/>
                <w:bCs/>
                <w:color w:val="000000"/>
                <w:lang w:eastAsia="en-GB"/>
              </w:rPr>
              <w:t>Parameter</w:t>
            </w:r>
          </w:p>
        </w:tc>
        <w:tc>
          <w:tcPr>
            <w:tcW w:w="2819" w:type="pct"/>
            <w:gridSpan w:val="2"/>
            <w:shd w:val="clear" w:color="auto" w:fill="auto"/>
            <w:noWrap/>
            <w:hideMark/>
          </w:tcPr>
          <w:p w14:paraId="65AB55B2" w14:textId="77777777" w:rsidR="00FE37DB" w:rsidRPr="00A20A17" w:rsidRDefault="00FE37DB" w:rsidP="00A80B48">
            <w:pPr>
              <w:spacing w:after="0" w:line="240" w:lineRule="auto"/>
              <w:jc w:val="center"/>
              <w:rPr>
                <w:rFonts w:ascii="Calibri" w:hAnsi="Calibri" w:cs="Calibri"/>
                <w:b/>
                <w:bCs/>
                <w:color w:val="000000"/>
                <w:lang w:eastAsia="en-GB"/>
              </w:rPr>
            </w:pPr>
            <w:r w:rsidRPr="00A20A17">
              <w:rPr>
                <w:rFonts w:ascii="Calibri" w:hAnsi="Calibri" w:cs="Calibri"/>
                <w:b/>
                <w:bCs/>
                <w:color w:val="000000"/>
                <w:lang w:eastAsia="en-GB"/>
              </w:rPr>
              <w:t>Model</w:t>
            </w:r>
          </w:p>
        </w:tc>
      </w:tr>
      <w:tr w:rsidR="00FE37DB" w:rsidRPr="00A20A17" w14:paraId="755FF3FA" w14:textId="77777777" w:rsidTr="00A80B48">
        <w:trPr>
          <w:trHeight w:val="300"/>
        </w:trPr>
        <w:tc>
          <w:tcPr>
            <w:tcW w:w="2181" w:type="pct"/>
            <w:vMerge/>
            <w:noWrap/>
            <w:hideMark/>
          </w:tcPr>
          <w:p w14:paraId="142D7FF3" w14:textId="77777777" w:rsidR="00FE37DB" w:rsidRPr="00A20A17" w:rsidRDefault="00FE37DB" w:rsidP="00A80B48">
            <w:pPr>
              <w:spacing w:after="0" w:line="240" w:lineRule="auto"/>
              <w:jc w:val="center"/>
              <w:rPr>
                <w:rFonts w:ascii="Calibri" w:hAnsi="Calibri" w:cs="Calibri"/>
                <w:b/>
                <w:bCs/>
                <w:color w:val="000000"/>
                <w:lang w:eastAsia="en-GB"/>
              </w:rPr>
            </w:pPr>
          </w:p>
        </w:tc>
        <w:tc>
          <w:tcPr>
            <w:tcW w:w="1335" w:type="pct"/>
            <w:shd w:val="clear" w:color="auto" w:fill="auto"/>
            <w:noWrap/>
            <w:hideMark/>
          </w:tcPr>
          <w:p w14:paraId="30924F71" w14:textId="77777777" w:rsidR="00FE37DB" w:rsidRPr="00A20A17" w:rsidRDefault="00FE37DB" w:rsidP="00A80B48">
            <w:pPr>
              <w:spacing w:after="0" w:line="240" w:lineRule="auto"/>
              <w:jc w:val="center"/>
              <w:rPr>
                <w:rFonts w:ascii="Calibri" w:hAnsi="Calibri" w:cs="Calibri"/>
                <w:b/>
                <w:bCs/>
                <w:color w:val="000000"/>
                <w:lang w:eastAsia="en-GB"/>
              </w:rPr>
            </w:pPr>
            <w:r w:rsidRPr="00A20A17">
              <w:rPr>
                <w:rFonts w:ascii="Calibri" w:hAnsi="Calibri" w:cs="Calibri"/>
                <w:b/>
                <w:bCs/>
                <w:color w:val="000000"/>
                <w:lang w:eastAsia="en-GB"/>
              </w:rPr>
              <w:t>Scenario: Exponential</w:t>
            </w:r>
          </w:p>
        </w:tc>
        <w:tc>
          <w:tcPr>
            <w:tcW w:w="1484" w:type="pct"/>
            <w:shd w:val="clear" w:color="auto" w:fill="auto"/>
            <w:noWrap/>
            <w:hideMark/>
          </w:tcPr>
          <w:p w14:paraId="77FE646F" w14:textId="77777777" w:rsidR="00FE37DB" w:rsidRPr="00A20A17" w:rsidRDefault="00FE37DB" w:rsidP="00A80B48">
            <w:pPr>
              <w:spacing w:after="0" w:line="240" w:lineRule="auto"/>
              <w:jc w:val="center"/>
              <w:rPr>
                <w:rFonts w:ascii="Calibri" w:hAnsi="Calibri" w:cs="Calibri"/>
                <w:b/>
                <w:bCs/>
                <w:color w:val="000000"/>
                <w:lang w:eastAsia="en-GB"/>
              </w:rPr>
            </w:pPr>
            <w:r w:rsidRPr="00A20A17">
              <w:rPr>
                <w:rFonts w:ascii="Calibri" w:hAnsi="Calibri" w:cs="Calibri"/>
                <w:b/>
                <w:bCs/>
                <w:color w:val="000000"/>
                <w:lang w:eastAsia="en-GB"/>
              </w:rPr>
              <w:t>Base-case: Generalised Gamma</w:t>
            </w:r>
          </w:p>
        </w:tc>
      </w:tr>
      <w:tr w:rsidR="00FE37DB" w:rsidRPr="00A20A17" w14:paraId="5C75E354" w14:textId="77777777" w:rsidTr="00A80B48">
        <w:trPr>
          <w:trHeight w:val="315"/>
        </w:trPr>
        <w:tc>
          <w:tcPr>
            <w:tcW w:w="2181" w:type="pct"/>
            <w:shd w:val="clear" w:color="auto" w:fill="auto"/>
            <w:noWrap/>
            <w:hideMark/>
          </w:tcPr>
          <w:p w14:paraId="7D1FAF2F" w14:textId="77777777" w:rsidR="00FE37DB" w:rsidRPr="00A20A17" w:rsidRDefault="00FE37DB" w:rsidP="00A80B48">
            <w:pPr>
              <w:spacing w:after="0" w:line="240" w:lineRule="auto"/>
              <w:rPr>
                <w:rFonts w:ascii="Calibri" w:hAnsi="Calibri" w:cs="Calibri"/>
                <w:color w:val="000000"/>
                <w:lang w:eastAsia="en-GB"/>
              </w:rPr>
            </w:pPr>
            <w:bookmarkStart w:id="5" w:name="_Hlk71642770"/>
            <w:r w:rsidRPr="00A20A17">
              <w:rPr>
                <w:rFonts w:ascii="Calibri" w:hAnsi="Calibri" w:cs="Calibri"/>
                <w:color w:val="000000"/>
                <w:lang w:eastAsia="en-GB"/>
              </w:rPr>
              <w:t>mu</w:t>
            </w:r>
          </w:p>
        </w:tc>
        <w:tc>
          <w:tcPr>
            <w:tcW w:w="1335" w:type="pct"/>
            <w:shd w:val="clear" w:color="auto" w:fill="auto"/>
            <w:noWrap/>
            <w:vAlign w:val="center"/>
            <w:hideMark/>
          </w:tcPr>
          <w:p w14:paraId="43909788" w14:textId="77777777" w:rsidR="00FE37DB" w:rsidRPr="00A20A17" w:rsidRDefault="00FE37DB" w:rsidP="00A80B48">
            <w:pPr>
              <w:spacing w:after="0" w:line="240" w:lineRule="auto"/>
              <w:jc w:val="right"/>
              <w:rPr>
                <w:rFonts w:ascii="Calibri" w:hAnsi="Calibri" w:cs="Calibri"/>
                <w:color w:val="000000"/>
                <w:lang w:eastAsia="en-GB"/>
              </w:rPr>
            </w:pPr>
            <w:bookmarkStart w:id="6" w:name="RANGE!B10:B18"/>
            <w:r w:rsidRPr="00A20A17">
              <w:rPr>
                <w:rFonts w:ascii="Calibri" w:hAnsi="Calibri" w:cs="Calibri"/>
                <w:color w:val="000000"/>
                <w:lang w:eastAsia="en-GB"/>
              </w:rPr>
              <w:t>N/A </w:t>
            </w:r>
            <w:bookmarkEnd w:id="6"/>
          </w:p>
        </w:tc>
        <w:tc>
          <w:tcPr>
            <w:tcW w:w="1484" w:type="pct"/>
            <w:shd w:val="clear" w:color="auto" w:fill="auto"/>
            <w:noWrap/>
            <w:vAlign w:val="center"/>
            <w:hideMark/>
          </w:tcPr>
          <w:p w14:paraId="1D12272E" w14:textId="77777777" w:rsidR="00FE37DB" w:rsidRPr="00A20A17" w:rsidRDefault="00FE37DB" w:rsidP="00A80B48">
            <w:pPr>
              <w:spacing w:after="0" w:line="240" w:lineRule="auto"/>
              <w:jc w:val="right"/>
              <w:rPr>
                <w:rFonts w:ascii="Calibri" w:hAnsi="Calibri" w:cs="Calibri"/>
                <w:color w:val="000000"/>
                <w:lang w:eastAsia="en-GB"/>
              </w:rPr>
            </w:pPr>
            <w:bookmarkStart w:id="7" w:name="RANGE!C10:C18"/>
            <w:r w:rsidRPr="00A20A17">
              <w:rPr>
                <w:rFonts w:ascii="Calibri" w:hAnsi="Calibri" w:cs="Calibri"/>
                <w:color w:val="000000"/>
                <w:lang w:eastAsia="en-GB"/>
              </w:rPr>
              <w:t>13.1896</w:t>
            </w:r>
            <w:bookmarkEnd w:id="7"/>
          </w:p>
        </w:tc>
      </w:tr>
      <w:tr w:rsidR="00FE37DB" w:rsidRPr="00A20A17" w14:paraId="1789E230" w14:textId="77777777" w:rsidTr="00A80B48">
        <w:trPr>
          <w:trHeight w:val="300"/>
        </w:trPr>
        <w:tc>
          <w:tcPr>
            <w:tcW w:w="2181" w:type="pct"/>
            <w:shd w:val="clear" w:color="auto" w:fill="auto"/>
            <w:noWrap/>
            <w:hideMark/>
          </w:tcPr>
          <w:p w14:paraId="319F02A1" w14:textId="77777777" w:rsidR="00FE37DB" w:rsidRPr="00A20A17" w:rsidRDefault="00FE37DB" w:rsidP="00A80B48">
            <w:pPr>
              <w:spacing w:after="0" w:line="240" w:lineRule="auto"/>
              <w:rPr>
                <w:rFonts w:ascii="Calibri" w:hAnsi="Calibri" w:cs="Calibri"/>
                <w:color w:val="000000"/>
                <w:lang w:eastAsia="en-GB"/>
              </w:rPr>
            </w:pPr>
            <w:r w:rsidRPr="00A20A17">
              <w:rPr>
                <w:rFonts w:ascii="Calibri" w:hAnsi="Calibri" w:cs="Calibri"/>
                <w:color w:val="000000"/>
                <w:lang w:eastAsia="en-GB"/>
              </w:rPr>
              <w:t>sigma</w:t>
            </w:r>
          </w:p>
        </w:tc>
        <w:tc>
          <w:tcPr>
            <w:tcW w:w="1335" w:type="pct"/>
            <w:shd w:val="clear" w:color="auto" w:fill="auto"/>
            <w:noWrap/>
            <w:vAlign w:val="center"/>
            <w:hideMark/>
          </w:tcPr>
          <w:p w14:paraId="3C34B0A8"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N/A </w:t>
            </w:r>
          </w:p>
        </w:tc>
        <w:tc>
          <w:tcPr>
            <w:tcW w:w="1484" w:type="pct"/>
            <w:shd w:val="clear" w:color="auto" w:fill="auto"/>
            <w:noWrap/>
            <w:vAlign w:val="center"/>
            <w:hideMark/>
          </w:tcPr>
          <w:p w14:paraId="4C69F286"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2.2144</w:t>
            </w:r>
          </w:p>
        </w:tc>
      </w:tr>
      <w:tr w:rsidR="00FE37DB" w:rsidRPr="00A20A17" w14:paraId="70281CE1" w14:textId="77777777" w:rsidTr="00A80B48">
        <w:trPr>
          <w:trHeight w:val="300"/>
        </w:trPr>
        <w:tc>
          <w:tcPr>
            <w:tcW w:w="2181" w:type="pct"/>
            <w:shd w:val="clear" w:color="auto" w:fill="auto"/>
            <w:noWrap/>
            <w:hideMark/>
          </w:tcPr>
          <w:p w14:paraId="1FB7074F" w14:textId="77777777" w:rsidR="00FE37DB" w:rsidRPr="00A20A17" w:rsidRDefault="00FE37DB" w:rsidP="00A80B48">
            <w:pPr>
              <w:spacing w:after="0" w:line="240" w:lineRule="auto"/>
              <w:rPr>
                <w:rFonts w:ascii="Calibri" w:hAnsi="Calibri" w:cs="Calibri"/>
                <w:color w:val="000000"/>
                <w:lang w:eastAsia="en-GB"/>
              </w:rPr>
            </w:pPr>
            <w:r w:rsidRPr="00A20A17">
              <w:rPr>
                <w:rFonts w:ascii="Calibri" w:hAnsi="Calibri" w:cs="Calibri"/>
                <w:color w:val="000000"/>
                <w:lang w:eastAsia="en-GB"/>
              </w:rPr>
              <w:t>Q</w:t>
            </w:r>
          </w:p>
        </w:tc>
        <w:tc>
          <w:tcPr>
            <w:tcW w:w="1335" w:type="pct"/>
            <w:shd w:val="clear" w:color="auto" w:fill="auto"/>
            <w:noWrap/>
            <w:vAlign w:val="center"/>
            <w:hideMark/>
          </w:tcPr>
          <w:p w14:paraId="4BA01A32"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N/A </w:t>
            </w:r>
          </w:p>
        </w:tc>
        <w:tc>
          <w:tcPr>
            <w:tcW w:w="1484" w:type="pct"/>
            <w:shd w:val="clear" w:color="auto" w:fill="auto"/>
            <w:noWrap/>
            <w:vAlign w:val="center"/>
            <w:hideMark/>
          </w:tcPr>
          <w:p w14:paraId="5819C85B"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0.4970</w:t>
            </w:r>
          </w:p>
        </w:tc>
      </w:tr>
      <w:bookmarkEnd w:id="5"/>
      <w:tr w:rsidR="00FE37DB" w:rsidRPr="00A20A17" w14:paraId="20BF5E08" w14:textId="77777777" w:rsidTr="00A80B48">
        <w:trPr>
          <w:trHeight w:val="300"/>
        </w:trPr>
        <w:tc>
          <w:tcPr>
            <w:tcW w:w="2181" w:type="pct"/>
            <w:shd w:val="clear" w:color="auto" w:fill="auto"/>
            <w:noWrap/>
            <w:hideMark/>
          </w:tcPr>
          <w:p w14:paraId="4DE8CB10" w14:textId="77777777" w:rsidR="00FE37DB" w:rsidRPr="00A20A17" w:rsidRDefault="00FE37DB" w:rsidP="00A80B48">
            <w:pPr>
              <w:spacing w:after="0" w:line="240" w:lineRule="auto"/>
              <w:rPr>
                <w:rFonts w:ascii="Calibri" w:hAnsi="Calibri" w:cs="Calibri"/>
                <w:color w:val="000000"/>
                <w:lang w:eastAsia="en-GB"/>
              </w:rPr>
            </w:pPr>
            <w:r w:rsidRPr="00A20A17">
              <w:rPr>
                <w:rFonts w:ascii="Calibri" w:hAnsi="Calibri" w:cs="Calibri"/>
                <w:color w:val="000000"/>
                <w:lang w:eastAsia="en-GB"/>
              </w:rPr>
              <w:t>constant</w:t>
            </w:r>
          </w:p>
        </w:tc>
        <w:tc>
          <w:tcPr>
            <w:tcW w:w="1335" w:type="pct"/>
            <w:shd w:val="clear" w:color="auto" w:fill="auto"/>
            <w:noWrap/>
            <w:vAlign w:val="center"/>
            <w:hideMark/>
          </w:tcPr>
          <w:p w14:paraId="76C3113B"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0.0001</w:t>
            </w:r>
          </w:p>
        </w:tc>
        <w:tc>
          <w:tcPr>
            <w:tcW w:w="1484" w:type="pct"/>
            <w:shd w:val="clear" w:color="auto" w:fill="auto"/>
            <w:noWrap/>
            <w:vAlign w:val="center"/>
            <w:hideMark/>
          </w:tcPr>
          <w:p w14:paraId="3478FE45"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 N/A</w:t>
            </w:r>
          </w:p>
        </w:tc>
      </w:tr>
      <w:tr w:rsidR="00FE37DB" w:rsidRPr="00A20A17" w14:paraId="5DE46B99" w14:textId="77777777" w:rsidTr="00A80B48">
        <w:trPr>
          <w:trHeight w:val="300"/>
        </w:trPr>
        <w:tc>
          <w:tcPr>
            <w:tcW w:w="2181" w:type="pct"/>
            <w:shd w:val="clear" w:color="auto" w:fill="auto"/>
            <w:noWrap/>
            <w:hideMark/>
          </w:tcPr>
          <w:p w14:paraId="68871EE3" w14:textId="77777777" w:rsidR="00FE37DB" w:rsidRPr="00A20A17" w:rsidRDefault="00FE37DB" w:rsidP="00A80B48">
            <w:pPr>
              <w:spacing w:after="0" w:line="240" w:lineRule="auto"/>
              <w:rPr>
                <w:rFonts w:ascii="Calibri" w:hAnsi="Calibri" w:cs="Calibri"/>
                <w:color w:val="000000"/>
                <w:lang w:eastAsia="en-GB"/>
              </w:rPr>
            </w:pPr>
            <w:r w:rsidRPr="00A20A17">
              <w:rPr>
                <w:rFonts w:ascii="Calibri" w:hAnsi="Calibri" w:cs="Calibri"/>
                <w:color w:val="000000"/>
                <w:lang w:eastAsia="en-GB"/>
              </w:rPr>
              <w:t>sex (=0 if female; =1 if male)</w:t>
            </w:r>
          </w:p>
        </w:tc>
        <w:tc>
          <w:tcPr>
            <w:tcW w:w="1335" w:type="pct"/>
            <w:shd w:val="clear" w:color="auto" w:fill="auto"/>
            <w:noWrap/>
            <w:vAlign w:val="center"/>
            <w:hideMark/>
          </w:tcPr>
          <w:p w14:paraId="22B8DD55"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0.7848</w:t>
            </w:r>
          </w:p>
        </w:tc>
        <w:tc>
          <w:tcPr>
            <w:tcW w:w="1484" w:type="pct"/>
            <w:shd w:val="clear" w:color="auto" w:fill="auto"/>
            <w:noWrap/>
            <w:vAlign w:val="center"/>
            <w:hideMark/>
          </w:tcPr>
          <w:p w14:paraId="290FCAD1"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-1.2077</w:t>
            </w:r>
          </w:p>
        </w:tc>
      </w:tr>
      <w:tr w:rsidR="00FE37DB" w:rsidRPr="00A20A17" w14:paraId="68F64773" w14:textId="77777777" w:rsidTr="00A80B48">
        <w:trPr>
          <w:trHeight w:val="300"/>
        </w:trPr>
        <w:tc>
          <w:tcPr>
            <w:tcW w:w="2181" w:type="pct"/>
            <w:shd w:val="clear" w:color="auto" w:fill="auto"/>
            <w:noWrap/>
            <w:hideMark/>
          </w:tcPr>
          <w:p w14:paraId="1F00A4DA" w14:textId="77777777" w:rsidR="00FE37DB" w:rsidRPr="00A20A17" w:rsidRDefault="00FE37DB" w:rsidP="00A80B48">
            <w:pPr>
              <w:spacing w:after="0" w:line="240" w:lineRule="auto"/>
              <w:rPr>
                <w:rFonts w:ascii="Calibri" w:hAnsi="Calibri" w:cs="Calibri"/>
                <w:color w:val="000000"/>
                <w:lang w:eastAsia="en-GB"/>
              </w:rPr>
            </w:pPr>
            <w:r w:rsidRPr="00A20A17">
              <w:rPr>
                <w:rFonts w:ascii="Calibri" w:hAnsi="Calibri" w:cs="Calibri"/>
                <w:color w:val="000000"/>
                <w:lang w:eastAsia="en-GB"/>
              </w:rPr>
              <w:t>age at diagnosis, in years</w:t>
            </w:r>
          </w:p>
        </w:tc>
        <w:tc>
          <w:tcPr>
            <w:tcW w:w="1335" w:type="pct"/>
            <w:shd w:val="clear" w:color="auto" w:fill="auto"/>
            <w:noWrap/>
            <w:vAlign w:val="center"/>
            <w:hideMark/>
          </w:tcPr>
          <w:p w14:paraId="76C0F19E"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0.0504</w:t>
            </w:r>
          </w:p>
        </w:tc>
        <w:tc>
          <w:tcPr>
            <w:tcW w:w="1484" w:type="pct"/>
            <w:shd w:val="clear" w:color="auto" w:fill="auto"/>
            <w:noWrap/>
            <w:vAlign w:val="center"/>
            <w:hideMark/>
          </w:tcPr>
          <w:p w14:paraId="630243F7"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-0.0724</w:t>
            </w:r>
          </w:p>
        </w:tc>
      </w:tr>
      <w:tr w:rsidR="00FE37DB" w:rsidRPr="00A20A17" w14:paraId="720FF8E1" w14:textId="77777777" w:rsidTr="00A80B48">
        <w:trPr>
          <w:trHeight w:val="300"/>
        </w:trPr>
        <w:tc>
          <w:tcPr>
            <w:tcW w:w="2181" w:type="pct"/>
            <w:shd w:val="clear" w:color="auto" w:fill="auto"/>
            <w:noWrap/>
            <w:hideMark/>
          </w:tcPr>
          <w:p w14:paraId="4B1FF61F" w14:textId="77777777" w:rsidR="00FE37DB" w:rsidRPr="00A20A17" w:rsidRDefault="00FE37DB" w:rsidP="00A80B48">
            <w:pPr>
              <w:spacing w:after="0" w:line="240" w:lineRule="auto"/>
              <w:rPr>
                <w:rFonts w:ascii="Calibri" w:hAnsi="Calibri" w:cs="Calibri"/>
                <w:color w:val="000000"/>
                <w:lang w:eastAsia="en-GB"/>
              </w:rPr>
            </w:pPr>
            <w:r w:rsidRPr="00A20A17">
              <w:rPr>
                <w:rFonts w:ascii="Calibri" w:hAnsi="Calibri" w:cs="Calibri"/>
                <w:color w:val="000000"/>
                <w:lang w:eastAsia="en-GB"/>
              </w:rPr>
              <w:t>LDLC pre-treatment, in mmol/L</w:t>
            </w:r>
          </w:p>
        </w:tc>
        <w:tc>
          <w:tcPr>
            <w:tcW w:w="1335" w:type="pct"/>
            <w:shd w:val="clear" w:color="auto" w:fill="auto"/>
            <w:noWrap/>
            <w:vAlign w:val="center"/>
            <w:hideMark/>
          </w:tcPr>
          <w:p w14:paraId="2431D9F5"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0.2838</w:t>
            </w:r>
          </w:p>
        </w:tc>
        <w:tc>
          <w:tcPr>
            <w:tcW w:w="1484" w:type="pct"/>
            <w:shd w:val="clear" w:color="auto" w:fill="auto"/>
            <w:noWrap/>
            <w:vAlign w:val="center"/>
            <w:hideMark/>
          </w:tcPr>
          <w:p w14:paraId="2783458D"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-0.4426</w:t>
            </w:r>
          </w:p>
        </w:tc>
      </w:tr>
      <w:tr w:rsidR="00FE37DB" w:rsidRPr="00A20A17" w14:paraId="79FE0D13" w14:textId="77777777" w:rsidTr="00A80B48">
        <w:trPr>
          <w:trHeight w:val="300"/>
        </w:trPr>
        <w:tc>
          <w:tcPr>
            <w:tcW w:w="2181" w:type="pct"/>
            <w:shd w:val="clear" w:color="auto" w:fill="auto"/>
            <w:noWrap/>
            <w:hideMark/>
          </w:tcPr>
          <w:p w14:paraId="69CBB497" w14:textId="77777777" w:rsidR="00FE37DB" w:rsidRPr="00A20A17" w:rsidRDefault="00FE37DB" w:rsidP="00A80B48">
            <w:pPr>
              <w:spacing w:after="0" w:line="240" w:lineRule="auto"/>
              <w:rPr>
                <w:rFonts w:ascii="Calibri" w:hAnsi="Calibri" w:cs="Calibri"/>
                <w:color w:val="000000"/>
                <w:lang w:eastAsia="en-GB"/>
              </w:rPr>
            </w:pPr>
            <w:r w:rsidRPr="00A20A17">
              <w:rPr>
                <w:rFonts w:ascii="Calibri" w:hAnsi="Calibri" w:cs="Calibri"/>
                <w:color w:val="000000"/>
                <w:lang w:eastAsia="en-GB"/>
              </w:rPr>
              <w:t>CV history at diagnosis (=1 if yes)</w:t>
            </w:r>
          </w:p>
        </w:tc>
        <w:tc>
          <w:tcPr>
            <w:tcW w:w="1335" w:type="pct"/>
            <w:shd w:val="clear" w:color="auto" w:fill="auto"/>
            <w:noWrap/>
            <w:vAlign w:val="center"/>
            <w:hideMark/>
          </w:tcPr>
          <w:p w14:paraId="46DBF194"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1.4728</w:t>
            </w:r>
          </w:p>
        </w:tc>
        <w:tc>
          <w:tcPr>
            <w:tcW w:w="1484" w:type="pct"/>
            <w:shd w:val="clear" w:color="auto" w:fill="auto"/>
            <w:noWrap/>
            <w:vAlign w:val="center"/>
            <w:hideMark/>
          </w:tcPr>
          <w:p w14:paraId="7ECF83BE"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-2.5750</w:t>
            </w:r>
          </w:p>
        </w:tc>
      </w:tr>
      <w:tr w:rsidR="00FE37DB" w:rsidRPr="00A20A17" w14:paraId="60B648A5" w14:textId="77777777" w:rsidTr="00A80B48">
        <w:trPr>
          <w:trHeight w:val="300"/>
        </w:trPr>
        <w:tc>
          <w:tcPr>
            <w:tcW w:w="5000" w:type="pct"/>
            <w:gridSpan w:val="3"/>
            <w:shd w:val="clear" w:color="auto" w:fill="auto"/>
            <w:noWrap/>
          </w:tcPr>
          <w:p w14:paraId="22489840" w14:textId="77777777" w:rsidR="00FE37DB" w:rsidRPr="00A20A17" w:rsidRDefault="00FE37DB" w:rsidP="00A80B48">
            <w:pPr>
              <w:spacing w:after="0" w:line="240" w:lineRule="auto"/>
              <w:rPr>
                <w:rFonts w:ascii="Calibri" w:hAnsi="Calibri" w:cs="Calibri"/>
                <w:color w:val="000000"/>
                <w:lang w:eastAsia="en-GB"/>
              </w:rPr>
            </w:pPr>
            <w:r w:rsidRPr="00A20A17">
              <w:rPr>
                <w:rFonts w:ascii="Calibri" w:hAnsi="Calibri" w:cs="Calibri"/>
                <w:color w:val="000000"/>
                <w:lang w:eastAsia="en-GB"/>
              </w:rPr>
              <w:t>CV: cardiovascular; LDLC: low density lipoprotein cholesterol; N/A: not applicable</w:t>
            </w:r>
          </w:p>
          <w:p w14:paraId="56059CF3" w14:textId="77777777" w:rsidR="00FE37DB" w:rsidRPr="00A20A17" w:rsidRDefault="00FE37DB" w:rsidP="00A80B48">
            <w:pPr>
              <w:spacing w:after="0" w:line="240" w:lineRule="auto"/>
              <w:rPr>
                <w:rFonts w:ascii="Calibri" w:hAnsi="Calibri" w:cs="Calibri"/>
                <w:color w:val="000000"/>
                <w:lang w:eastAsia="en-GB"/>
              </w:rPr>
            </w:pPr>
            <w:r w:rsidRPr="0A306F63">
              <w:rPr>
                <w:rFonts w:ascii="Calibri" w:hAnsi="Calibri" w:cs="Calibri"/>
                <w:color w:val="000000" w:themeColor="text1"/>
                <w:lang w:eastAsia="en-GB"/>
              </w:rPr>
              <w:t>Obtained from the analysis of time to first major cardiovascular event reported in Section 11.2. For hazard ratios, see Chapter Section 11.2</w:t>
            </w:r>
          </w:p>
          <w:p w14:paraId="3062FDFB" w14:textId="77777777" w:rsidR="00FE37DB" w:rsidRPr="00A20A17" w:rsidRDefault="00FE37DB" w:rsidP="00A80B48">
            <w:pPr>
              <w:spacing w:after="0" w:line="240" w:lineRule="auto"/>
              <w:rPr>
                <w:rFonts w:ascii="Calibri" w:hAnsi="Calibri" w:cs="Calibri"/>
                <w:color w:val="000000"/>
                <w:lang w:eastAsia="en-GB"/>
              </w:rPr>
            </w:pPr>
            <w:r w:rsidRPr="00A20A17">
              <w:rPr>
                <w:rFonts w:ascii="Calibri" w:hAnsi="Calibri" w:cs="Calibri"/>
                <w:color w:val="000000"/>
                <w:lang w:eastAsia="en-GB"/>
              </w:rPr>
              <w:t>Distribution for probabilistic sensitivity analysis: multivariate normal.</w:t>
            </w:r>
          </w:p>
        </w:tc>
      </w:tr>
    </w:tbl>
    <w:p w14:paraId="4C0DC033" w14:textId="77777777" w:rsidR="00FE37DB" w:rsidRPr="00A20A17" w:rsidRDefault="00FE37DB" w:rsidP="00FE37DB">
      <w:pPr>
        <w:spacing w:before="120" w:after="120"/>
        <w:rPr>
          <w:rFonts w:ascii="Calibri" w:eastAsia="Calibri" w:hAnsi="Calibri" w:cs="Arial"/>
        </w:rPr>
      </w:pPr>
    </w:p>
    <w:p w14:paraId="469351B3" w14:textId="77777777" w:rsidR="00FE37DB" w:rsidRPr="00A20A17" w:rsidRDefault="00FE37DB" w:rsidP="00FE37DB">
      <w:pPr>
        <w:keepNext/>
        <w:spacing w:before="120"/>
        <w:rPr>
          <w:rFonts w:ascii="Calibri" w:eastAsia="Calibri" w:hAnsi="Calibri" w:cs="Arial"/>
          <w:i/>
          <w:iCs/>
          <w:color w:val="44546A"/>
          <w:sz w:val="18"/>
          <w:szCs w:val="18"/>
        </w:rPr>
      </w:pPr>
      <w:r w:rsidRPr="00A20A17">
        <w:rPr>
          <w:rFonts w:ascii="Calibri" w:eastAsia="Calibri" w:hAnsi="Calibri" w:cs="Arial"/>
          <w:i/>
          <w:iCs/>
          <w:color w:val="44546A"/>
          <w:sz w:val="18"/>
          <w:szCs w:val="18"/>
        </w:rPr>
        <w:t xml:space="preserve">Table </w:t>
      </w:r>
      <w:r w:rsidRPr="00A20A17">
        <w:rPr>
          <w:rFonts w:ascii="Calibri" w:eastAsia="Calibri" w:hAnsi="Calibri" w:cs="Arial"/>
          <w:i/>
          <w:iCs/>
          <w:color w:val="44546A"/>
          <w:sz w:val="18"/>
          <w:szCs w:val="18"/>
        </w:rPr>
        <w:fldChar w:fldCharType="begin"/>
      </w:r>
      <w:r w:rsidRPr="00A20A17">
        <w:rPr>
          <w:rFonts w:ascii="Calibri" w:eastAsia="Calibri" w:hAnsi="Calibri" w:cs="Arial"/>
          <w:i/>
          <w:iCs/>
          <w:color w:val="44546A"/>
          <w:sz w:val="18"/>
          <w:szCs w:val="18"/>
        </w:rPr>
        <w:instrText>SEQ Table \* ARABIC</w:instrText>
      </w:r>
      <w:r w:rsidRPr="00A20A17">
        <w:rPr>
          <w:rFonts w:ascii="Calibri" w:eastAsia="Calibri" w:hAnsi="Calibri" w:cs="Arial"/>
          <w:i/>
          <w:iCs/>
          <w:color w:val="44546A"/>
          <w:sz w:val="18"/>
          <w:szCs w:val="18"/>
        </w:rPr>
        <w:fldChar w:fldCharType="separate"/>
      </w:r>
      <w:r w:rsidRPr="00A20A17">
        <w:rPr>
          <w:rFonts w:ascii="Calibri" w:eastAsia="Calibri" w:hAnsi="Calibri" w:cs="Arial"/>
          <w:i/>
          <w:iCs/>
          <w:noProof/>
          <w:color w:val="44546A"/>
          <w:sz w:val="18"/>
          <w:szCs w:val="18"/>
        </w:rPr>
        <w:t>3</w:t>
      </w:r>
      <w:r w:rsidRPr="00A20A17">
        <w:rPr>
          <w:rFonts w:ascii="Calibri" w:eastAsia="Calibri" w:hAnsi="Calibri" w:cs="Arial"/>
          <w:i/>
          <w:iCs/>
          <w:color w:val="44546A"/>
          <w:sz w:val="18"/>
          <w:szCs w:val="18"/>
        </w:rPr>
        <w:fldChar w:fldCharType="end"/>
      </w:r>
      <w:r w:rsidRPr="00A20A17">
        <w:rPr>
          <w:rFonts w:ascii="Calibri" w:eastAsia="Calibri" w:hAnsi="Calibri" w:cs="Arial"/>
          <w:i/>
          <w:iCs/>
          <w:color w:val="44546A"/>
          <w:sz w:val="18"/>
          <w:szCs w:val="18"/>
        </w:rPr>
        <w:t>: Cholesky decomposition for the exponential risk equation</w:t>
      </w:r>
    </w:p>
    <w:tbl>
      <w:tblPr>
        <w:tblStyle w:val="TableGrid21"/>
        <w:tblW w:w="5000" w:type="pct"/>
        <w:tblLook w:val="04A0" w:firstRow="1" w:lastRow="0" w:firstColumn="1" w:lastColumn="0" w:noHBand="0" w:noVBand="1"/>
      </w:tblPr>
      <w:tblGrid>
        <w:gridCol w:w="1858"/>
        <w:gridCol w:w="1441"/>
        <w:gridCol w:w="1441"/>
        <w:gridCol w:w="1441"/>
        <w:gridCol w:w="1441"/>
        <w:gridCol w:w="1394"/>
      </w:tblGrid>
      <w:tr w:rsidR="00FE37DB" w:rsidRPr="00A20A17" w14:paraId="7DADF36C" w14:textId="77777777" w:rsidTr="00A80B48">
        <w:trPr>
          <w:trHeight w:val="300"/>
        </w:trPr>
        <w:tc>
          <w:tcPr>
            <w:tcW w:w="1031" w:type="pct"/>
            <w:shd w:val="clear" w:color="auto" w:fill="auto"/>
            <w:noWrap/>
            <w:hideMark/>
          </w:tcPr>
          <w:p w14:paraId="1CB20C75" w14:textId="77777777" w:rsidR="00FE37DB" w:rsidRPr="00A20A17" w:rsidRDefault="00FE37DB" w:rsidP="00A80B48">
            <w:pPr>
              <w:spacing w:after="0" w:line="240" w:lineRule="auto"/>
              <w:rPr>
                <w:rFonts w:ascii="Calibri" w:hAnsi="Calibri" w:cs="Calibri"/>
                <w:color w:val="000000"/>
                <w:szCs w:val="18"/>
                <w:lang w:eastAsia="en-GB"/>
              </w:rPr>
            </w:pPr>
            <w:r w:rsidRPr="00A20A17">
              <w:rPr>
                <w:rFonts w:ascii="Calibri" w:hAnsi="Calibri" w:cs="Calibri"/>
                <w:color w:val="000000"/>
                <w:szCs w:val="18"/>
                <w:lang w:eastAsia="en-GB"/>
              </w:rPr>
              <w:t>Parameters</w:t>
            </w:r>
          </w:p>
        </w:tc>
        <w:tc>
          <w:tcPr>
            <w:tcW w:w="799" w:type="pct"/>
            <w:shd w:val="clear" w:color="auto" w:fill="auto"/>
            <w:noWrap/>
            <w:hideMark/>
          </w:tcPr>
          <w:p w14:paraId="7594A277" w14:textId="77777777" w:rsidR="00FE37DB" w:rsidRPr="00A20A17" w:rsidRDefault="00FE37DB" w:rsidP="00A80B48">
            <w:pPr>
              <w:spacing w:after="0" w:line="240" w:lineRule="auto"/>
              <w:rPr>
                <w:rFonts w:ascii="Calibri" w:hAnsi="Calibri" w:cs="Calibri"/>
                <w:szCs w:val="18"/>
                <w:lang w:eastAsia="en-GB"/>
              </w:rPr>
            </w:pPr>
            <w:r w:rsidRPr="00A20A17">
              <w:rPr>
                <w:rFonts w:ascii="Calibri" w:hAnsi="Calibri" w:cs="Calibri"/>
                <w:szCs w:val="18"/>
                <w:lang w:eastAsia="en-GB"/>
              </w:rPr>
              <w:t>constant</w:t>
            </w:r>
          </w:p>
        </w:tc>
        <w:tc>
          <w:tcPr>
            <w:tcW w:w="799" w:type="pct"/>
            <w:shd w:val="clear" w:color="auto" w:fill="auto"/>
            <w:noWrap/>
            <w:hideMark/>
          </w:tcPr>
          <w:p w14:paraId="6229B7C0" w14:textId="77777777" w:rsidR="00FE37DB" w:rsidRPr="00A20A17" w:rsidRDefault="00FE37DB" w:rsidP="00A80B48">
            <w:pPr>
              <w:spacing w:after="0" w:line="240" w:lineRule="auto"/>
              <w:rPr>
                <w:rFonts w:ascii="Calibri" w:hAnsi="Calibri" w:cs="Calibri"/>
                <w:color w:val="000000"/>
                <w:szCs w:val="18"/>
                <w:lang w:eastAsia="en-GB"/>
              </w:rPr>
            </w:pPr>
            <w:r w:rsidRPr="00A20A17">
              <w:rPr>
                <w:rFonts w:ascii="Calibri" w:hAnsi="Calibri" w:cs="Calibri"/>
                <w:color w:val="000000"/>
                <w:szCs w:val="18"/>
                <w:lang w:eastAsia="en-GB"/>
              </w:rPr>
              <w:t>male</w:t>
            </w:r>
          </w:p>
        </w:tc>
        <w:tc>
          <w:tcPr>
            <w:tcW w:w="799" w:type="pct"/>
            <w:shd w:val="clear" w:color="auto" w:fill="auto"/>
            <w:noWrap/>
            <w:hideMark/>
          </w:tcPr>
          <w:p w14:paraId="757B18CA" w14:textId="77777777" w:rsidR="00FE37DB" w:rsidRPr="00A20A17" w:rsidRDefault="00FE37DB" w:rsidP="00A80B48">
            <w:pPr>
              <w:spacing w:after="0" w:line="240" w:lineRule="auto"/>
              <w:rPr>
                <w:rFonts w:ascii="Calibri" w:hAnsi="Calibri" w:cs="Calibri"/>
                <w:color w:val="000000"/>
                <w:szCs w:val="18"/>
                <w:lang w:eastAsia="en-GB"/>
              </w:rPr>
            </w:pPr>
            <w:r w:rsidRPr="00A20A17">
              <w:rPr>
                <w:rFonts w:ascii="Calibri" w:hAnsi="Calibri" w:cs="Calibri"/>
                <w:color w:val="000000"/>
                <w:szCs w:val="18"/>
                <w:lang w:eastAsia="en-GB"/>
              </w:rPr>
              <w:t>age</w:t>
            </w:r>
          </w:p>
        </w:tc>
        <w:tc>
          <w:tcPr>
            <w:tcW w:w="799" w:type="pct"/>
            <w:shd w:val="clear" w:color="auto" w:fill="auto"/>
            <w:noWrap/>
            <w:hideMark/>
          </w:tcPr>
          <w:p w14:paraId="0E72E7A2" w14:textId="77777777" w:rsidR="00FE37DB" w:rsidRPr="00A20A17" w:rsidRDefault="00FE37DB" w:rsidP="00A80B48">
            <w:pPr>
              <w:spacing w:after="0" w:line="240" w:lineRule="auto"/>
              <w:rPr>
                <w:rFonts w:ascii="Calibri" w:hAnsi="Calibri" w:cs="Calibri"/>
                <w:color w:val="000000"/>
                <w:szCs w:val="18"/>
                <w:lang w:eastAsia="en-GB"/>
              </w:rPr>
            </w:pPr>
            <w:r w:rsidRPr="00A20A17">
              <w:rPr>
                <w:rFonts w:ascii="Calibri" w:hAnsi="Calibri" w:cs="Calibri"/>
                <w:color w:val="000000"/>
                <w:szCs w:val="18"/>
                <w:lang w:eastAsia="en-GB"/>
              </w:rPr>
              <w:t>PT-LDLC</w:t>
            </w:r>
          </w:p>
        </w:tc>
        <w:tc>
          <w:tcPr>
            <w:tcW w:w="773" w:type="pct"/>
            <w:shd w:val="clear" w:color="auto" w:fill="auto"/>
            <w:noWrap/>
            <w:hideMark/>
          </w:tcPr>
          <w:p w14:paraId="692CFB34" w14:textId="77777777" w:rsidR="00FE37DB" w:rsidRPr="00A20A17" w:rsidRDefault="00FE37DB" w:rsidP="00A80B48">
            <w:pPr>
              <w:spacing w:after="0" w:line="240" w:lineRule="auto"/>
              <w:rPr>
                <w:rFonts w:ascii="Calibri" w:hAnsi="Calibri" w:cs="Calibri"/>
                <w:color w:val="000000"/>
                <w:szCs w:val="18"/>
                <w:lang w:eastAsia="en-GB"/>
              </w:rPr>
            </w:pPr>
            <w:r w:rsidRPr="00A20A17">
              <w:rPr>
                <w:rFonts w:ascii="Calibri" w:hAnsi="Calibri" w:cs="Calibri"/>
                <w:color w:val="000000"/>
                <w:szCs w:val="18"/>
                <w:lang w:eastAsia="en-GB"/>
              </w:rPr>
              <w:t>CV history</w:t>
            </w:r>
          </w:p>
        </w:tc>
      </w:tr>
      <w:tr w:rsidR="00FE37DB" w:rsidRPr="00A20A17" w14:paraId="6D563E1F" w14:textId="77777777" w:rsidTr="00A80B48">
        <w:trPr>
          <w:trHeight w:val="300"/>
        </w:trPr>
        <w:tc>
          <w:tcPr>
            <w:tcW w:w="1031" w:type="pct"/>
            <w:shd w:val="clear" w:color="auto" w:fill="auto"/>
            <w:noWrap/>
            <w:hideMark/>
          </w:tcPr>
          <w:p w14:paraId="156067E7" w14:textId="77777777" w:rsidR="00FE37DB" w:rsidRPr="00A20A17" w:rsidRDefault="00FE37DB" w:rsidP="00A80B48">
            <w:pPr>
              <w:spacing w:after="0" w:line="240" w:lineRule="auto"/>
              <w:rPr>
                <w:rFonts w:ascii="Calibri" w:hAnsi="Calibri" w:cs="Calibri"/>
                <w:szCs w:val="18"/>
                <w:lang w:eastAsia="en-GB"/>
              </w:rPr>
            </w:pPr>
            <w:r w:rsidRPr="00A20A17">
              <w:rPr>
                <w:rFonts w:ascii="Calibri" w:hAnsi="Calibri" w:cs="Calibri"/>
                <w:szCs w:val="18"/>
                <w:lang w:eastAsia="en-GB"/>
              </w:rPr>
              <w:t>constant</w:t>
            </w:r>
          </w:p>
        </w:tc>
        <w:tc>
          <w:tcPr>
            <w:tcW w:w="799" w:type="pct"/>
            <w:shd w:val="clear" w:color="auto" w:fill="auto"/>
            <w:noWrap/>
            <w:vAlign w:val="bottom"/>
            <w:hideMark/>
          </w:tcPr>
          <w:p w14:paraId="2E7ED186"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0.620</w:t>
            </w:r>
          </w:p>
        </w:tc>
        <w:tc>
          <w:tcPr>
            <w:tcW w:w="799" w:type="pct"/>
            <w:shd w:val="clear" w:color="auto" w:fill="auto"/>
            <w:noWrap/>
            <w:vAlign w:val="bottom"/>
          </w:tcPr>
          <w:p w14:paraId="5238DBE4" w14:textId="77777777" w:rsidR="00FE37DB" w:rsidRPr="00A20A17" w:rsidRDefault="00FE37DB" w:rsidP="00A80B48">
            <w:pPr>
              <w:spacing w:after="0" w:line="240" w:lineRule="auto"/>
              <w:jc w:val="right"/>
              <w:rPr>
                <w:rFonts w:ascii="Calibri" w:hAnsi="Calibri" w:cs="Calibri"/>
                <w:color w:val="000000"/>
                <w:lang w:eastAsia="en-GB"/>
              </w:rPr>
            </w:pPr>
          </w:p>
        </w:tc>
        <w:tc>
          <w:tcPr>
            <w:tcW w:w="799" w:type="pct"/>
            <w:shd w:val="clear" w:color="auto" w:fill="auto"/>
            <w:noWrap/>
            <w:vAlign w:val="bottom"/>
          </w:tcPr>
          <w:p w14:paraId="6A58AE57" w14:textId="77777777" w:rsidR="00FE37DB" w:rsidRPr="00A20A17" w:rsidRDefault="00FE37DB" w:rsidP="00A80B48">
            <w:pPr>
              <w:spacing w:after="0" w:line="240" w:lineRule="auto"/>
              <w:jc w:val="right"/>
              <w:rPr>
                <w:rFonts w:ascii="Calibri" w:hAnsi="Calibri" w:cs="Calibri"/>
                <w:color w:val="000000"/>
                <w:lang w:eastAsia="en-GB"/>
              </w:rPr>
            </w:pPr>
          </w:p>
        </w:tc>
        <w:tc>
          <w:tcPr>
            <w:tcW w:w="799" w:type="pct"/>
            <w:shd w:val="clear" w:color="auto" w:fill="auto"/>
            <w:noWrap/>
            <w:vAlign w:val="bottom"/>
          </w:tcPr>
          <w:p w14:paraId="67252AC0" w14:textId="77777777" w:rsidR="00FE37DB" w:rsidRPr="00A20A17" w:rsidRDefault="00FE37DB" w:rsidP="00A80B48">
            <w:pPr>
              <w:spacing w:after="0" w:line="240" w:lineRule="auto"/>
              <w:jc w:val="right"/>
              <w:rPr>
                <w:rFonts w:ascii="Calibri" w:hAnsi="Calibri" w:cs="Calibri"/>
                <w:color w:val="000000"/>
                <w:lang w:eastAsia="en-GB"/>
              </w:rPr>
            </w:pPr>
          </w:p>
        </w:tc>
        <w:tc>
          <w:tcPr>
            <w:tcW w:w="773" w:type="pct"/>
            <w:shd w:val="clear" w:color="auto" w:fill="auto"/>
            <w:noWrap/>
            <w:vAlign w:val="bottom"/>
          </w:tcPr>
          <w:p w14:paraId="17E5FE37" w14:textId="77777777" w:rsidR="00FE37DB" w:rsidRPr="00A20A17" w:rsidRDefault="00FE37DB" w:rsidP="00A80B48">
            <w:pPr>
              <w:spacing w:after="0" w:line="240" w:lineRule="auto"/>
              <w:jc w:val="right"/>
              <w:rPr>
                <w:rFonts w:ascii="Calibri" w:hAnsi="Calibri" w:cs="Calibri"/>
                <w:color w:val="000000"/>
                <w:lang w:eastAsia="en-GB"/>
              </w:rPr>
            </w:pPr>
          </w:p>
        </w:tc>
      </w:tr>
      <w:tr w:rsidR="00FE37DB" w:rsidRPr="00A20A17" w14:paraId="45793624" w14:textId="77777777" w:rsidTr="00A80B48">
        <w:trPr>
          <w:trHeight w:val="300"/>
        </w:trPr>
        <w:tc>
          <w:tcPr>
            <w:tcW w:w="1031" w:type="pct"/>
            <w:shd w:val="clear" w:color="auto" w:fill="auto"/>
            <w:noWrap/>
            <w:hideMark/>
          </w:tcPr>
          <w:p w14:paraId="209A29AB" w14:textId="77777777" w:rsidR="00FE37DB" w:rsidRPr="00A20A17" w:rsidRDefault="00FE37DB" w:rsidP="00A80B48">
            <w:pPr>
              <w:spacing w:after="0" w:line="240" w:lineRule="auto"/>
              <w:rPr>
                <w:rFonts w:ascii="Calibri" w:hAnsi="Calibri" w:cs="Calibri"/>
                <w:color w:val="000000"/>
                <w:szCs w:val="18"/>
                <w:lang w:eastAsia="en-GB"/>
              </w:rPr>
            </w:pPr>
            <w:r w:rsidRPr="00A20A17">
              <w:rPr>
                <w:rFonts w:ascii="Calibri" w:hAnsi="Calibri" w:cs="Calibri"/>
                <w:color w:val="000000"/>
                <w:szCs w:val="18"/>
                <w:lang w:eastAsia="en-GB"/>
              </w:rPr>
              <w:t>male</w:t>
            </w:r>
          </w:p>
        </w:tc>
        <w:tc>
          <w:tcPr>
            <w:tcW w:w="799" w:type="pct"/>
            <w:shd w:val="clear" w:color="auto" w:fill="auto"/>
            <w:noWrap/>
            <w:vAlign w:val="bottom"/>
            <w:hideMark/>
          </w:tcPr>
          <w:p w14:paraId="553D4915"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-0.080</w:t>
            </w:r>
          </w:p>
        </w:tc>
        <w:tc>
          <w:tcPr>
            <w:tcW w:w="799" w:type="pct"/>
            <w:shd w:val="clear" w:color="auto" w:fill="auto"/>
            <w:noWrap/>
            <w:vAlign w:val="bottom"/>
            <w:hideMark/>
          </w:tcPr>
          <w:p w14:paraId="2B297ACE"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0.164</w:t>
            </w:r>
          </w:p>
        </w:tc>
        <w:tc>
          <w:tcPr>
            <w:tcW w:w="799" w:type="pct"/>
            <w:shd w:val="clear" w:color="auto" w:fill="auto"/>
            <w:noWrap/>
            <w:vAlign w:val="bottom"/>
          </w:tcPr>
          <w:p w14:paraId="7158F1F2" w14:textId="77777777" w:rsidR="00FE37DB" w:rsidRPr="00A20A17" w:rsidRDefault="00FE37DB" w:rsidP="00A80B48">
            <w:pPr>
              <w:spacing w:after="0" w:line="240" w:lineRule="auto"/>
              <w:jc w:val="right"/>
              <w:rPr>
                <w:rFonts w:ascii="Calibri" w:hAnsi="Calibri" w:cs="Calibri"/>
                <w:color w:val="000000"/>
                <w:lang w:eastAsia="en-GB"/>
              </w:rPr>
            </w:pPr>
          </w:p>
        </w:tc>
        <w:tc>
          <w:tcPr>
            <w:tcW w:w="799" w:type="pct"/>
            <w:shd w:val="clear" w:color="auto" w:fill="auto"/>
            <w:noWrap/>
            <w:vAlign w:val="bottom"/>
          </w:tcPr>
          <w:p w14:paraId="7C46CB32" w14:textId="77777777" w:rsidR="00FE37DB" w:rsidRPr="00A20A17" w:rsidRDefault="00FE37DB" w:rsidP="00A80B48">
            <w:pPr>
              <w:spacing w:after="0" w:line="240" w:lineRule="auto"/>
              <w:jc w:val="right"/>
              <w:rPr>
                <w:rFonts w:ascii="Calibri" w:hAnsi="Calibri" w:cs="Calibri"/>
                <w:color w:val="000000"/>
                <w:lang w:eastAsia="en-GB"/>
              </w:rPr>
            </w:pPr>
          </w:p>
        </w:tc>
        <w:tc>
          <w:tcPr>
            <w:tcW w:w="773" w:type="pct"/>
            <w:shd w:val="clear" w:color="auto" w:fill="auto"/>
            <w:noWrap/>
            <w:vAlign w:val="bottom"/>
          </w:tcPr>
          <w:p w14:paraId="42EE27CA" w14:textId="77777777" w:rsidR="00FE37DB" w:rsidRPr="00A20A17" w:rsidRDefault="00FE37DB" w:rsidP="00A80B48">
            <w:pPr>
              <w:spacing w:after="0" w:line="240" w:lineRule="auto"/>
              <w:jc w:val="right"/>
              <w:rPr>
                <w:rFonts w:ascii="Calibri" w:hAnsi="Calibri" w:cs="Calibri"/>
                <w:color w:val="000000"/>
                <w:lang w:eastAsia="en-GB"/>
              </w:rPr>
            </w:pPr>
          </w:p>
        </w:tc>
      </w:tr>
      <w:tr w:rsidR="00FE37DB" w:rsidRPr="00A20A17" w14:paraId="23E7936F" w14:textId="77777777" w:rsidTr="00A80B48">
        <w:trPr>
          <w:trHeight w:val="300"/>
        </w:trPr>
        <w:tc>
          <w:tcPr>
            <w:tcW w:w="1031" w:type="pct"/>
            <w:shd w:val="clear" w:color="auto" w:fill="auto"/>
            <w:noWrap/>
            <w:hideMark/>
          </w:tcPr>
          <w:p w14:paraId="561EE10A" w14:textId="77777777" w:rsidR="00FE37DB" w:rsidRPr="00A20A17" w:rsidRDefault="00FE37DB" w:rsidP="00A80B48">
            <w:pPr>
              <w:spacing w:after="0" w:line="240" w:lineRule="auto"/>
              <w:rPr>
                <w:rFonts w:ascii="Calibri" w:hAnsi="Calibri" w:cs="Calibri"/>
                <w:color w:val="000000"/>
                <w:szCs w:val="18"/>
                <w:lang w:eastAsia="en-GB"/>
              </w:rPr>
            </w:pPr>
            <w:r w:rsidRPr="00A20A17">
              <w:rPr>
                <w:rFonts w:ascii="Calibri" w:hAnsi="Calibri" w:cs="Calibri"/>
                <w:color w:val="000000"/>
                <w:szCs w:val="18"/>
                <w:lang w:eastAsia="en-GB"/>
              </w:rPr>
              <w:t>age</w:t>
            </w:r>
          </w:p>
        </w:tc>
        <w:tc>
          <w:tcPr>
            <w:tcW w:w="799" w:type="pct"/>
            <w:shd w:val="clear" w:color="auto" w:fill="auto"/>
            <w:noWrap/>
            <w:vAlign w:val="bottom"/>
            <w:hideMark/>
          </w:tcPr>
          <w:p w14:paraId="79AC0DED"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-0.006</w:t>
            </w:r>
          </w:p>
        </w:tc>
        <w:tc>
          <w:tcPr>
            <w:tcW w:w="799" w:type="pct"/>
            <w:shd w:val="clear" w:color="auto" w:fill="auto"/>
            <w:noWrap/>
            <w:vAlign w:val="bottom"/>
            <w:hideMark/>
          </w:tcPr>
          <w:p w14:paraId="589F405F"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0.000</w:t>
            </w:r>
          </w:p>
        </w:tc>
        <w:tc>
          <w:tcPr>
            <w:tcW w:w="799" w:type="pct"/>
            <w:shd w:val="clear" w:color="auto" w:fill="auto"/>
            <w:noWrap/>
            <w:vAlign w:val="bottom"/>
            <w:hideMark/>
          </w:tcPr>
          <w:p w14:paraId="70755F57"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0.004</w:t>
            </w:r>
          </w:p>
        </w:tc>
        <w:tc>
          <w:tcPr>
            <w:tcW w:w="799" w:type="pct"/>
            <w:shd w:val="clear" w:color="auto" w:fill="auto"/>
            <w:noWrap/>
            <w:vAlign w:val="bottom"/>
          </w:tcPr>
          <w:p w14:paraId="61D77CD9" w14:textId="77777777" w:rsidR="00FE37DB" w:rsidRPr="00A20A17" w:rsidRDefault="00FE37DB" w:rsidP="00A80B48">
            <w:pPr>
              <w:spacing w:after="0" w:line="240" w:lineRule="auto"/>
              <w:jc w:val="right"/>
              <w:rPr>
                <w:rFonts w:ascii="Calibri" w:hAnsi="Calibri" w:cs="Calibri"/>
                <w:color w:val="000000"/>
                <w:lang w:eastAsia="en-GB"/>
              </w:rPr>
            </w:pPr>
          </w:p>
        </w:tc>
        <w:tc>
          <w:tcPr>
            <w:tcW w:w="773" w:type="pct"/>
            <w:shd w:val="clear" w:color="auto" w:fill="auto"/>
            <w:noWrap/>
            <w:vAlign w:val="bottom"/>
          </w:tcPr>
          <w:p w14:paraId="22DD6E92" w14:textId="77777777" w:rsidR="00FE37DB" w:rsidRPr="00A20A17" w:rsidRDefault="00FE37DB" w:rsidP="00A80B48">
            <w:pPr>
              <w:spacing w:after="0" w:line="240" w:lineRule="auto"/>
              <w:jc w:val="right"/>
              <w:rPr>
                <w:rFonts w:ascii="Calibri" w:hAnsi="Calibri" w:cs="Calibri"/>
                <w:color w:val="000000"/>
                <w:lang w:eastAsia="en-GB"/>
              </w:rPr>
            </w:pPr>
          </w:p>
        </w:tc>
      </w:tr>
      <w:tr w:rsidR="00FE37DB" w:rsidRPr="00A20A17" w14:paraId="09F6A816" w14:textId="77777777" w:rsidTr="00A80B48">
        <w:trPr>
          <w:trHeight w:val="300"/>
        </w:trPr>
        <w:tc>
          <w:tcPr>
            <w:tcW w:w="1031" w:type="pct"/>
            <w:shd w:val="clear" w:color="auto" w:fill="auto"/>
            <w:noWrap/>
            <w:hideMark/>
          </w:tcPr>
          <w:p w14:paraId="060FCC3D" w14:textId="77777777" w:rsidR="00FE37DB" w:rsidRPr="00A20A17" w:rsidRDefault="00FE37DB" w:rsidP="00A80B48">
            <w:pPr>
              <w:spacing w:after="0" w:line="240" w:lineRule="auto"/>
              <w:rPr>
                <w:rFonts w:ascii="Calibri" w:hAnsi="Calibri" w:cs="Calibri"/>
                <w:color w:val="000000"/>
                <w:szCs w:val="18"/>
                <w:lang w:eastAsia="en-GB"/>
              </w:rPr>
            </w:pPr>
            <w:r w:rsidRPr="00A20A17">
              <w:rPr>
                <w:rFonts w:ascii="Calibri" w:hAnsi="Calibri" w:cs="Calibri"/>
                <w:color w:val="000000"/>
                <w:szCs w:val="18"/>
                <w:lang w:eastAsia="en-GB"/>
              </w:rPr>
              <w:t>PT-LDLC</w:t>
            </w:r>
          </w:p>
        </w:tc>
        <w:tc>
          <w:tcPr>
            <w:tcW w:w="799" w:type="pct"/>
            <w:shd w:val="clear" w:color="auto" w:fill="auto"/>
            <w:noWrap/>
            <w:vAlign w:val="bottom"/>
            <w:hideMark/>
          </w:tcPr>
          <w:p w14:paraId="271AFB81"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-0.034</w:t>
            </w:r>
          </w:p>
        </w:tc>
        <w:tc>
          <w:tcPr>
            <w:tcW w:w="799" w:type="pct"/>
            <w:shd w:val="clear" w:color="auto" w:fill="auto"/>
            <w:noWrap/>
            <w:vAlign w:val="bottom"/>
            <w:hideMark/>
          </w:tcPr>
          <w:p w14:paraId="512F584F"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-0.012</w:t>
            </w:r>
          </w:p>
        </w:tc>
        <w:tc>
          <w:tcPr>
            <w:tcW w:w="799" w:type="pct"/>
            <w:shd w:val="clear" w:color="auto" w:fill="auto"/>
            <w:noWrap/>
            <w:vAlign w:val="bottom"/>
            <w:hideMark/>
          </w:tcPr>
          <w:p w14:paraId="205B9D60"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-0.034</w:t>
            </w:r>
          </w:p>
        </w:tc>
        <w:tc>
          <w:tcPr>
            <w:tcW w:w="799" w:type="pct"/>
            <w:shd w:val="clear" w:color="auto" w:fill="auto"/>
            <w:noWrap/>
            <w:vAlign w:val="bottom"/>
            <w:hideMark/>
          </w:tcPr>
          <w:p w14:paraId="75B13B12"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0.015</w:t>
            </w:r>
          </w:p>
        </w:tc>
        <w:tc>
          <w:tcPr>
            <w:tcW w:w="773" w:type="pct"/>
            <w:shd w:val="clear" w:color="auto" w:fill="auto"/>
            <w:noWrap/>
            <w:vAlign w:val="bottom"/>
          </w:tcPr>
          <w:p w14:paraId="2B342185" w14:textId="77777777" w:rsidR="00FE37DB" w:rsidRPr="00A20A17" w:rsidRDefault="00FE37DB" w:rsidP="00A80B48">
            <w:pPr>
              <w:spacing w:after="0" w:line="240" w:lineRule="auto"/>
              <w:jc w:val="right"/>
              <w:rPr>
                <w:rFonts w:ascii="Calibri" w:hAnsi="Calibri" w:cs="Calibri"/>
                <w:color w:val="000000"/>
                <w:lang w:eastAsia="en-GB"/>
              </w:rPr>
            </w:pPr>
          </w:p>
        </w:tc>
      </w:tr>
      <w:tr w:rsidR="00FE37DB" w:rsidRPr="00A20A17" w14:paraId="0A495B45" w14:textId="77777777" w:rsidTr="00A80B48">
        <w:trPr>
          <w:trHeight w:val="300"/>
        </w:trPr>
        <w:tc>
          <w:tcPr>
            <w:tcW w:w="1031" w:type="pct"/>
            <w:shd w:val="clear" w:color="auto" w:fill="auto"/>
            <w:noWrap/>
            <w:hideMark/>
          </w:tcPr>
          <w:p w14:paraId="569B1361" w14:textId="77777777" w:rsidR="00FE37DB" w:rsidRPr="00A20A17" w:rsidRDefault="00FE37DB" w:rsidP="00A80B48">
            <w:pPr>
              <w:spacing w:after="0" w:line="240" w:lineRule="auto"/>
              <w:rPr>
                <w:rFonts w:ascii="Calibri" w:hAnsi="Calibri" w:cs="Calibri"/>
                <w:color w:val="000000"/>
                <w:szCs w:val="18"/>
                <w:lang w:eastAsia="en-GB"/>
              </w:rPr>
            </w:pPr>
            <w:r w:rsidRPr="00A20A17">
              <w:rPr>
                <w:rFonts w:ascii="Calibri" w:hAnsi="Calibri" w:cs="Calibri"/>
                <w:color w:val="000000"/>
                <w:szCs w:val="18"/>
                <w:lang w:eastAsia="en-GB"/>
              </w:rPr>
              <w:t>CV history</w:t>
            </w:r>
          </w:p>
        </w:tc>
        <w:tc>
          <w:tcPr>
            <w:tcW w:w="799" w:type="pct"/>
            <w:shd w:val="clear" w:color="auto" w:fill="auto"/>
            <w:noWrap/>
            <w:vAlign w:val="bottom"/>
            <w:hideMark/>
          </w:tcPr>
          <w:p w14:paraId="164363B5"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0.014</w:t>
            </w:r>
          </w:p>
        </w:tc>
        <w:tc>
          <w:tcPr>
            <w:tcW w:w="799" w:type="pct"/>
            <w:shd w:val="clear" w:color="auto" w:fill="auto"/>
            <w:noWrap/>
            <w:vAlign w:val="bottom"/>
            <w:hideMark/>
          </w:tcPr>
          <w:p w14:paraId="3254C6B6"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-0.024</w:t>
            </w:r>
          </w:p>
        </w:tc>
        <w:tc>
          <w:tcPr>
            <w:tcW w:w="799" w:type="pct"/>
            <w:shd w:val="clear" w:color="auto" w:fill="auto"/>
            <w:noWrap/>
            <w:vAlign w:val="bottom"/>
            <w:hideMark/>
          </w:tcPr>
          <w:p w14:paraId="7957F12E"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-0.057</w:t>
            </w:r>
          </w:p>
        </w:tc>
        <w:tc>
          <w:tcPr>
            <w:tcW w:w="799" w:type="pct"/>
            <w:shd w:val="clear" w:color="auto" w:fill="auto"/>
            <w:noWrap/>
            <w:vAlign w:val="bottom"/>
            <w:hideMark/>
          </w:tcPr>
          <w:p w14:paraId="3DCC7356"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-0.084</w:t>
            </w:r>
          </w:p>
        </w:tc>
        <w:tc>
          <w:tcPr>
            <w:tcW w:w="773" w:type="pct"/>
            <w:shd w:val="clear" w:color="auto" w:fill="auto"/>
            <w:noWrap/>
            <w:vAlign w:val="bottom"/>
            <w:hideMark/>
          </w:tcPr>
          <w:p w14:paraId="67718D5F"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0.207</w:t>
            </w:r>
          </w:p>
        </w:tc>
      </w:tr>
      <w:tr w:rsidR="00FE37DB" w:rsidRPr="00A20A17" w14:paraId="7CDB1126" w14:textId="77777777" w:rsidTr="00A80B48">
        <w:trPr>
          <w:trHeight w:val="300"/>
        </w:trPr>
        <w:tc>
          <w:tcPr>
            <w:tcW w:w="5000" w:type="pct"/>
            <w:gridSpan w:val="6"/>
            <w:shd w:val="clear" w:color="auto" w:fill="auto"/>
            <w:noWrap/>
          </w:tcPr>
          <w:p w14:paraId="3B3F0CCE" w14:textId="77777777" w:rsidR="00FE37DB" w:rsidRPr="00A20A17" w:rsidRDefault="00FE37DB" w:rsidP="00A80B48">
            <w:pPr>
              <w:spacing w:after="0" w:line="240" w:lineRule="auto"/>
              <w:rPr>
                <w:rFonts w:ascii="Calibri" w:hAnsi="Calibri" w:cs="Calibri"/>
                <w:color w:val="000000"/>
                <w:lang w:eastAsia="en-GB"/>
              </w:rPr>
            </w:pPr>
            <w:r w:rsidRPr="00A20A17">
              <w:rPr>
                <w:rFonts w:ascii="Calibri" w:hAnsi="Calibri" w:cs="Calibri"/>
                <w:color w:val="000000"/>
                <w:lang w:eastAsia="en-GB"/>
              </w:rPr>
              <w:t>CV: Cardiovascular; PT-LDLC: Pre-Treatment Low Density Lipoprotein Cholesterol</w:t>
            </w:r>
          </w:p>
        </w:tc>
      </w:tr>
    </w:tbl>
    <w:p w14:paraId="7B2DE898" w14:textId="77777777" w:rsidR="00FE37DB" w:rsidRPr="00A20A17" w:rsidRDefault="00FE37DB" w:rsidP="00FE37DB">
      <w:pPr>
        <w:spacing w:before="120" w:after="120"/>
        <w:rPr>
          <w:rFonts w:ascii="Calibri" w:eastAsia="Calibri" w:hAnsi="Calibri" w:cs="Arial"/>
        </w:rPr>
      </w:pPr>
    </w:p>
    <w:p w14:paraId="2B4110EC" w14:textId="77777777" w:rsidR="00FE37DB" w:rsidRPr="00A20A17" w:rsidRDefault="00FE37DB" w:rsidP="00FE37DB">
      <w:pPr>
        <w:keepNext/>
        <w:spacing w:before="120"/>
        <w:rPr>
          <w:rFonts w:ascii="Calibri" w:eastAsia="Calibri" w:hAnsi="Calibri" w:cs="Arial"/>
          <w:i/>
          <w:iCs/>
          <w:color w:val="44546A"/>
          <w:sz w:val="18"/>
          <w:szCs w:val="18"/>
        </w:rPr>
      </w:pPr>
      <w:r w:rsidRPr="00A20A17">
        <w:rPr>
          <w:rFonts w:ascii="Calibri" w:eastAsia="Calibri" w:hAnsi="Calibri" w:cs="Arial"/>
          <w:i/>
          <w:iCs/>
          <w:color w:val="44546A"/>
          <w:sz w:val="18"/>
          <w:szCs w:val="18"/>
        </w:rPr>
        <w:t xml:space="preserve">Table </w:t>
      </w:r>
      <w:r w:rsidRPr="00A20A17">
        <w:rPr>
          <w:rFonts w:ascii="Calibri" w:eastAsia="Calibri" w:hAnsi="Calibri" w:cs="Arial"/>
          <w:i/>
          <w:iCs/>
          <w:color w:val="44546A"/>
          <w:sz w:val="18"/>
          <w:szCs w:val="18"/>
        </w:rPr>
        <w:fldChar w:fldCharType="begin"/>
      </w:r>
      <w:r w:rsidRPr="00A20A17">
        <w:rPr>
          <w:rFonts w:ascii="Calibri" w:eastAsia="Calibri" w:hAnsi="Calibri" w:cs="Arial"/>
          <w:i/>
          <w:iCs/>
          <w:color w:val="44546A"/>
          <w:sz w:val="18"/>
          <w:szCs w:val="18"/>
        </w:rPr>
        <w:instrText>SEQ Table \* ARABIC</w:instrText>
      </w:r>
      <w:r w:rsidRPr="00A20A17">
        <w:rPr>
          <w:rFonts w:ascii="Calibri" w:eastAsia="Calibri" w:hAnsi="Calibri" w:cs="Arial"/>
          <w:i/>
          <w:iCs/>
          <w:color w:val="44546A"/>
          <w:sz w:val="18"/>
          <w:szCs w:val="18"/>
        </w:rPr>
        <w:fldChar w:fldCharType="separate"/>
      </w:r>
      <w:r w:rsidRPr="00A20A17">
        <w:rPr>
          <w:rFonts w:ascii="Calibri" w:eastAsia="Calibri" w:hAnsi="Calibri" w:cs="Arial"/>
          <w:i/>
          <w:iCs/>
          <w:noProof/>
          <w:color w:val="44546A"/>
          <w:sz w:val="18"/>
          <w:szCs w:val="18"/>
        </w:rPr>
        <w:t>4</w:t>
      </w:r>
      <w:r w:rsidRPr="00A20A17">
        <w:rPr>
          <w:rFonts w:ascii="Calibri" w:eastAsia="Calibri" w:hAnsi="Calibri" w:cs="Arial"/>
          <w:i/>
          <w:iCs/>
          <w:color w:val="44546A"/>
          <w:sz w:val="18"/>
          <w:szCs w:val="18"/>
        </w:rPr>
        <w:fldChar w:fldCharType="end"/>
      </w:r>
      <w:r w:rsidRPr="00A20A17">
        <w:rPr>
          <w:rFonts w:ascii="Calibri" w:eastAsia="Calibri" w:hAnsi="Calibri" w:cs="Arial"/>
          <w:i/>
          <w:iCs/>
          <w:color w:val="44546A"/>
          <w:sz w:val="18"/>
          <w:szCs w:val="18"/>
        </w:rPr>
        <w:t>: Cholesky decomposition for the generalised gamma risk equation</w:t>
      </w:r>
    </w:p>
    <w:tbl>
      <w:tblPr>
        <w:tblStyle w:val="TableGrid21"/>
        <w:tblW w:w="5000" w:type="pct"/>
        <w:tblLook w:val="04A0" w:firstRow="1" w:lastRow="0" w:firstColumn="1" w:lastColumn="0" w:noHBand="0" w:noVBand="1"/>
      </w:tblPr>
      <w:tblGrid>
        <w:gridCol w:w="1781"/>
        <w:gridCol w:w="1048"/>
        <w:gridCol w:w="1181"/>
        <w:gridCol w:w="997"/>
        <w:gridCol w:w="1019"/>
        <w:gridCol w:w="965"/>
        <w:gridCol w:w="1064"/>
        <w:gridCol w:w="961"/>
      </w:tblGrid>
      <w:tr w:rsidR="00FE37DB" w:rsidRPr="00A20A17" w14:paraId="1DA30AC4" w14:textId="77777777" w:rsidTr="00A80B48">
        <w:trPr>
          <w:trHeight w:val="300"/>
        </w:trPr>
        <w:tc>
          <w:tcPr>
            <w:tcW w:w="988" w:type="pct"/>
            <w:shd w:val="clear" w:color="auto" w:fill="auto"/>
            <w:noWrap/>
            <w:hideMark/>
          </w:tcPr>
          <w:p w14:paraId="7A32F164" w14:textId="77777777" w:rsidR="00FE37DB" w:rsidRPr="00A20A17" w:rsidRDefault="00FE37DB" w:rsidP="00A80B48">
            <w:pPr>
              <w:spacing w:after="0" w:line="240" w:lineRule="auto"/>
              <w:rPr>
                <w:rFonts w:ascii="Calibri" w:hAnsi="Calibri" w:cs="Calibri"/>
                <w:color w:val="000000"/>
                <w:szCs w:val="18"/>
                <w:lang w:eastAsia="en-GB"/>
              </w:rPr>
            </w:pPr>
            <w:r w:rsidRPr="00A20A17">
              <w:rPr>
                <w:rFonts w:ascii="Calibri" w:hAnsi="Calibri" w:cs="Calibri"/>
                <w:color w:val="000000"/>
                <w:szCs w:val="18"/>
                <w:lang w:eastAsia="en-GB"/>
              </w:rPr>
              <w:t>Parameters</w:t>
            </w:r>
          </w:p>
        </w:tc>
        <w:tc>
          <w:tcPr>
            <w:tcW w:w="582" w:type="pct"/>
            <w:shd w:val="clear" w:color="auto" w:fill="auto"/>
            <w:noWrap/>
            <w:hideMark/>
          </w:tcPr>
          <w:p w14:paraId="0F638A5C" w14:textId="77777777" w:rsidR="00FE37DB" w:rsidRPr="00A20A17" w:rsidRDefault="00FE37DB" w:rsidP="00A80B48">
            <w:pPr>
              <w:spacing w:after="0" w:line="240" w:lineRule="auto"/>
              <w:rPr>
                <w:rFonts w:ascii="Calibri" w:hAnsi="Calibri" w:cs="Calibri"/>
                <w:color w:val="000000"/>
                <w:szCs w:val="18"/>
                <w:lang w:eastAsia="en-GB"/>
              </w:rPr>
            </w:pPr>
            <w:r w:rsidRPr="00A20A17">
              <w:rPr>
                <w:rFonts w:ascii="Calibri" w:hAnsi="Calibri" w:cs="Calibri"/>
                <w:color w:val="000000"/>
                <w:szCs w:val="18"/>
                <w:lang w:eastAsia="en-GB"/>
              </w:rPr>
              <w:t>mu</w:t>
            </w:r>
          </w:p>
        </w:tc>
        <w:tc>
          <w:tcPr>
            <w:tcW w:w="655" w:type="pct"/>
            <w:shd w:val="clear" w:color="auto" w:fill="auto"/>
            <w:noWrap/>
            <w:hideMark/>
          </w:tcPr>
          <w:p w14:paraId="78BF96CD" w14:textId="77777777" w:rsidR="00FE37DB" w:rsidRPr="00A20A17" w:rsidRDefault="00FE37DB" w:rsidP="00A80B48">
            <w:pPr>
              <w:spacing w:after="0" w:line="240" w:lineRule="auto"/>
              <w:rPr>
                <w:rFonts w:ascii="Calibri" w:hAnsi="Calibri" w:cs="Calibri"/>
                <w:color w:val="000000"/>
                <w:szCs w:val="18"/>
                <w:lang w:eastAsia="en-GB"/>
              </w:rPr>
            </w:pPr>
            <w:r w:rsidRPr="00A20A17">
              <w:rPr>
                <w:rFonts w:ascii="Calibri" w:hAnsi="Calibri" w:cs="Calibri"/>
                <w:color w:val="000000"/>
                <w:szCs w:val="18"/>
                <w:lang w:eastAsia="en-GB"/>
              </w:rPr>
              <w:t>sigma</w:t>
            </w:r>
          </w:p>
        </w:tc>
        <w:tc>
          <w:tcPr>
            <w:tcW w:w="553" w:type="pct"/>
            <w:shd w:val="clear" w:color="auto" w:fill="auto"/>
            <w:noWrap/>
            <w:hideMark/>
          </w:tcPr>
          <w:p w14:paraId="69093D31" w14:textId="77777777" w:rsidR="00FE37DB" w:rsidRPr="00A20A17" w:rsidRDefault="00FE37DB" w:rsidP="00A80B48">
            <w:pPr>
              <w:spacing w:after="0" w:line="240" w:lineRule="auto"/>
              <w:rPr>
                <w:rFonts w:ascii="Calibri" w:hAnsi="Calibri" w:cs="Calibri"/>
                <w:color w:val="000000"/>
                <w:szCs w:val="18"/>
                <w:lang w:eastAsia="en-GB"/>
              </w:rPr>
            </w:pPr>
            <w:r w:rsidRPr="00A20A17">
              <w:rPr>
                <w:rFonts w:ascii="Calibri" w:hAnsi="Calibri" w:cs="Calibri"/>
                <w:color w:val="000000"/>
                <w:szCs w:val="18"/>
                <w:lang w:eastAsia="en-GB"/>
              </w:rPr>
              <w:t>Q</w:t>
            </w:r>
          </w:p>
        </w:tc>
        <w:tc>
          <w:tcPr>
            <w:tcW w:w="565" w:type="pct"/>
            <w:shd w:val="clear" w:color="auto" w:fill="auto"/>
            <w:noWrap/>
            <w:hideMark/>
          </w:tcPr>
          <w:p w14:paraId="227D716C" w14:textId="77777777" w:rsidR="00FE37DB" w:rsidRPr="00A20A17" w:rsidRDefault="00FE37DB" w:rsidP="00A80B48">
            <w:pPr>
              <w:spacing w:after="0" w:line="240" w:lineRule="auto"/>
              <w:rPr>
                <w:rFonts w:ascii="Calibri" w:hAnsi="Calibri" w:cs="Calibri"/>
                <w:color w:val="000000"/>
                <w:szCs w:val="18"/>
                <w:lang w:eastAsia="en-GB"/>
              </w:rPr>
            </w:pPr>
            <w:r w:rsidRPr="00A20A17">
              <w:rPr>
                <w:rFonts w:ascii="Calibri" w:hAnsi="Calibri" w:cs="Calibri"/>
                <w:color w:val="000000"/>
                <w:szCs w:val="18"/>
                <w:lang w:eastAsia="en-GB"/>
              </w:rPr>
              <w:t>male</w:t>
            </w:r>
          </w:p>
        </w:tc>
        <w:tc>
          <w:tcPr>
            <w:tcW w:w="535" w:type="pct"/>
            <w:shd w:val="clear" w:color="auto" w:fill="auto"/>
            <w:noWrap/>
            <w:hideMark/>
          </w:tcPr>
          <w:p w14:paraId="4174EFEF" w14:textId="77777777" w:rsidR="00FE37DB" w:rsidRPr="00A20A17" w:rsidRDefault="00FE37DB" w:rsidP="00A80B48">
            <w:pPr>
              <w:spacing w:after="0" w:line="240" w:lineRule="auto"/>
              <w:rPr>
                <w:rFonts w:ascii="Calibri" w:hAnsi="Calibri" w:cs="Calibri"/>
                <w:color w:val="000000"/>
                <w:szCs w:val="18"/>
                <w:lang w:eastAsia="en-GB"/>
              </w:rPr>
            </w:pPr>
            <w:r w:rsidRPr="00A20A17">
              <w:rPr>
                <w:rFonts w:ascii="Calibri" w:hAnsi="Calibri" w:cs="Calibri"/>
                <w:color w:val="000000"/>
                <w:szCs w:val="18"/>
                <w:lang w:eastAsia="en-GB"/>
              </w:rPr>
              <w:t>age</w:t>
            </w:r>
          </w:p>
        </w:tc>
        <w:tc>
          <w:tcPr>
            <w:tcW w:w="590" w:type="pct"/>
            <w:shd w:val="clear" w:color="auto" w:fill="auto"/>
            <w:noWrap/>
            <w:hideMark/>
          </w:tcPr>
          <w:p w14:paraId="3E258A67" w14:textId="77777777" w:rsidR="00FE37DB" w:rsidRPr="00A20A17" w:rsidRDefault="00FE37DB" w:rsidP="00A80B48">
            <w:pPr>
              <w:spacing w:after="0" w:line="240" w:lineRule="auto"/>
              <w:rPr>
                <w:rFonts w:ascii="Calibri" w:hAnsi="Calibri" w:cs="Calibri"/>
                <w:color w:val="000000"/>
                <w:szCs w:val="18"/>
                <w:lang w:eastAsia="en-GB"/>
              </w:rPr>
            </w:pPr>
            <w:r w:rsidRPr="00A20A17">
              <w:rPr>
                <w:rFonts w:ascii="Calibri" w:hAnsi="Calibri" w:cs="Calibri"/>
                <w:color w:val="000000"/>
                <w:szCs w:val="18"/>
                <w:lang w:eastAsia="en-GB"/>
              </w:rPr>
              <w:t>PT-LDLC</w:t>
            </w:r>
          </w:p>
        </w:tc>
        <w:tc>
          <w:tcPr>
            <w:tcW w:w="533" w:type="pct"/>
            <w:shd w:val="clear" w:color="auto" w:fill="auto"/>
            <w:noWrap/>
            <w:hideMark/>
          </w:tcPr>
          <w:p w14:paraId="413B5E72" w14:textId="77777777" w:rsidR="00FE37DB" w:rsidRPr="00A20A17" w:rsidRDefault="00FE37DB" w:rsidP="00A80B48">
            <w:pPr>
              <w:spacing w:after="0" w:line="240" w:lineRule="auto"/>
              <w:rPr>
                <w:rFonts w:ascii="Calibri" w:hAnsi="Calibri" w:cs="Calibri"/>
                <w:color w:val="000000"/>
                <w:szCs w:val="18"/>
                <w:lang w:eastAsia="en-GB"/>
              </w:rPr>
            </w:pPr>
            <w:r w:rsidRPr="00A20A17">
              <w:rPr>
                <w:rFonts w:ascii="Calibri" w:hAnsi="Calibri" w:cs="Calibri"/>
                <w:color w:val="000000"/>
                <w:szCs w:val="18"/>
                <w:lang w:eastAsia="en-GB"/>
              </w:rPr>
              <w:t>CV history</w:t>
            </w:r>
          </w:p>
        </w:tc>
      </w:tr>
      <w:tr w:rsidR="00FE37DB" w:rsidRPr="00A20A17" w14:paraId="20FBE4C0" w14:textId="77777777" w:rsidTr="00A80B48">
        <w:trPr>
          <w:trHeight w:val="300"/>
        </w:trPr>
        <w:tc>
          <w:tcPr>
            <w:tcW w:w="988" w:type="pct"/>
            <w:shd w:val="clear" w:color="auto" w:fill="auto"/>
            <w:noWrap/>
            <w:hideMark/>
          </w:tcPr>
          <w:p w14:paraId="12E0C265" w14:textId="77777777" w:rsidR="00FE37DB" w:rsidRPr="00A20A17" w:rsidRDefault="00FE37DB" w:rsidP="00A80B48">
            <w:pPr>
              <w:spacing w:after="0" w:line="240" w:lineRule="auto"/>
              <w:rPr>
                <w:rFonts w:ascii="Calibri" w:hAnsi="Calibri" w:cs="Calibri"/>
                <w:color w:val="000000"/>
                <w:szCs w:val="18"/>
                <w:lang w:eastAsia="en-GB"/>
              </w:rPr>
            </w:pPr>
            <w:r w:rsidRPr="00A20A17">
              <w:rPr>
                <w:rFonts w:ascii="Calibri" w:hAnsi="Calibri" w:cs="Calibri"/>
                <w:color w:val="000000"/>
                <w:szCs w:val="18"/>
                <w:lang w:eastAsia="en-GB"/>
              </w:rPr>
              <w:t>mu</w:t>
            </w:r>
          </w:p>
        </w:tc>
        <w:tc>
          <w:tcPr>
            <w:tcW w:w="582" w:type="pct"/>
            <w:shd w:val="clear" w:color="auto" w:fill="auto"/>
            <w:noWrap/>
            <w:vAlign w:val="bottom"/>
            <w:hideMark/>
          </w:tcPr>
          <w:p w14:paraId="538E5137"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1.353</w:t>
            </w:r>
          </w:p>
        </w:tc>
        <w:tc>
          <w:tcPr>
            <w:tcW w:w="655" w:type="pct"/>
            <w:shd w:val="clear" w:color="auto" w:fill="auto"/>
            <w:noWrap/>
            <w:vAlign w:val="bottom"/>
          </w:tcPr>
          <w:p w14:paraId="15CE917C" w14:textId="77777777" w:rsidR="00FE37DB" w:rsidRPr="00A20A17" w:rsidRDefault="00FE37DB" w:rsidP="00A80B48">
            <w:pPr>
              <w:spacing w:after="0" w:line="240" w:lineRule="auto"/>
              <w:jc w:val="right"/>
              <w:rPr>
                <w:rFonts w:ascii="Calibri" w:hAnsi="Calibri" w:cs="Calibri"/>
                <w:color w:val="000000"/>
                <w:lang w:eastAsia="en-GB"/>
              </w:rPr>
            </w:pPr>
          </w:p>
        </w:tc>
        <w:tc>
          <w:tcPr>
            <w:tcW w:w="553" w:type="pct"/>
            <w:shd w:val="clear" w:color="auto" w:fill="auto"/>
            <w:noWrap/>
            <w:vAlign w:val="bottom"/>
          </w:tcPr>
          <w:p w14:paraId="30B0081B" w14:textId="77777777" w:rsidR="00FE37DB" w:rsidRPr="00A20A17" w:rsidRDefault="00FE37DB" w:rsidP="00A80B48">
            <w:pPr>
              <w:spacing w:after="0" w:line="240" w:lineRule="auto"/>
              <w:jc w:val="right"/>
              <w:rPr>
                <w:rFonts w:ascii="Calibri" w:hAnsi="Calibri" w:cs="Calibri"/>
                <w:color w:val="000000"/>
                <w:lang w:eastAsia="en-GB"/>
              </w:rPr>
            </w:pPr>
          </w:p>
        </w:tc>
        <w:tc>
          <w:tcPr>
            <w:tcW w:w="565" w:type="pct"/>
            <w:shd w:val="clear" w:color="auto" w:fill="auto"/>
            <w:noWrap/>
            <w:vAlign w:val="bottom"/>
          </w:tcPr>
          <w:p w14:paraId="6C33C747" w14:textId="77777777" w:rsidR="00FE37DB" w:rsidRPr="00A20A17" w:rsidRDefault="00FE37DB" w:rsidP="00A80B48">
            <w:pPr>
              <w:spacing w:after="0" w:line="240" w:lineRule="auto"/>
              <w:jc w:val="right"/>
              <w:rPr>
                <w:rFonts w:ascii="Calibri" w:hAnsi="Calibri" w:cs="Calibri"/>
                <w:color w:val="000000"/>
                <w:lang w:eastAsia="en-GB"/>
              </w:rPr>
            </w:pPr>
          </w:p>
        </w:tc>
        <w:tc>
          <w:tcPr>
            <w:tcW w:w="535" w:type="pct"/>
            <w:shd w:val="clear" w:color="auto" w:fill="auto"/>
            <w:noWrap/>
            <w:vAlign w:val="bottom"/>
          </w:tcPr>
          <w:p w14:paraId="1970D5F9" w14:textId="77777777" w:rsidR="00FE37DB" w:rsidRPr="00A20A17" w:rsidRDefault="00FE37DB" w:rsidP="00A80B48">
            <w:pPr>
              <w:spacing w:after="0" w:line="240" w:lineRule="auto"/>
              <w:jc w:val="right"/>
              <w:rPr>
                <w:rFonts w:ascii="Calibri" w:hAnsi="Calibri" w:cs="Calibri"/>
                <w:color w:val="000000"/>
                <w:lang w:eastAsia="en-GB"/>
              </w:rPr>
            </w:pPr>
          </w:p>
        </w:tc>
        <w:tc>
          <w:tcPr>
            <w:tcW w:w="590" w:type="pct"/>
            <w:shd w:val="clear" w:color="auto" w:fill="auto"/>
            <w:noWrap/>
            <w:vAlign w:val="bottom"/>
          </w:tcPr>
          <w:p w14:paraId="18CD6995" w14:textId="77777777" w:rsidR="00FE37DB" w:rsidRPr="00A20A17" w:rsidRDefault="00FE37DB" w:rsidP="00A80B48">
            <w:pPr>
              <w:spacing w:after="0" w:line="240" w:lineRule="auto"/>
              <w:jc w:val="right"/>
              <w:rPr>
                <w:rFonts w:ascii="Calibri" w:hAnsi="Calibri" w:cs="Calibri"/>
                <w:color w:val="000000"/>
                <w:lang w:eastAsia="en-GB"/>
              </w:rPr>
            </w:pPr>
          </w:p>
        </w:tc>
        <w:tc>
          <w:tcPr>
            <w:tcW w:w="533" w:type="pct"/>
            <w:shd w:val="clear" w:color="auto" w:fill="auto"/>
            <w:noWrap/>
            <w:vAlign w:val="bottom"/>
          </w:tcPr>
          <w:p w14:paraId="1B582E7B" w14:textId="77777777" w:rsidR="00FE37DB" w:rsidRPr="00A20A17" w:rsidRDefault="00FE37DB" w:rsidP="00A80B48">
            <w:pPr>
              <w:spacing w:after="0" w:line="240" w:lineRule="auto"/>
              <w:jc w:val="right"/>
              <w:rPr>
                <w:rFonts w:ascii="Calibri" w:hAnsi="Calibri" w:cs="Calibri"/>
                <w:color w:val="000000"/>
                <w:lang w:eastAsia="en-GB"/>
              </w:rPr>
            </w:pPr>
          </w:p>
        </w:tc>
      </w:tr>
      <w:tr w:rsidR="00FE37DB" w:rsidRPr="00A20A17" w14:paraId="5E4528B8" w14:textId="77777777" w:rsidTr="00A80B48">
        <w:trPr>
          <w:trHeight w:val="300"/>
        </w:trPr>
        <w:tc>
          <w:tcPr>
            <w:tcW w:w="988" w:type="pct"/>
            <w:shd w:val="clear" w:color="auto" w:fill="auto"/>
            <w:noWrap/>
            <w:hideMark/>
          </w:tcPr>
          <w:p w14:paraId="7A8358D6" w14:textId="77777777" w:rsidR="00FE37DB" w:rsidRPr="00A20A17" w:rsidRDefault="00FE37DB" w:rsidP="00A80B48">
            <w:pPr>
              <w:spacing w:after="0" w:line="240" w:lineRule="auto"/>
              <w:rPr>
                <w:rFonts w:ascii="Calibri" w:hAnsi="Calibri" w:cs="Calibri"/>
                <w:color w:val="000000"/>
                <w:szCs w:val="18"/>
                <w:lang w:eastAsia="en-GB"/>
              </w:rPr>
            </w:pPr>
            <w:r w:rsidRPr="00A20A17">
              <w:rPr>
                <w:rFonts w:ascii="Calibri" w:hAnsi="Calibri" w:cs="Calibri"/>
                <w:color w:val="000000"/>
                <w:szCs w:val="18"/>
                <w:lang w:eastAsia="en-GB"/>
              </w:rPr>
              <w:t>sigma</w:t>
            </w:r>
          </w:p>
        </w:tc>
        <w:tc>
          <w:tcPr>
            <w:tcW w:w="582" w:type="pct"/>
            <w:shd w:val="clear" w:color="auto" w:fill="auto"/>
            <w:noWrap/>
            <w:vAlign w:val="bottom"/>
            <w:hideMark/>
          </w:tcPr>
          <w:p w14:paraId="1BF407B3"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0.154</w:t>
            </w:r>
          </w:p>
        </w:tc>
        <w:tc>
          <w:tcPr>
            <w:tcW w:w="655" w:type="pct"/>
            <w:shd w:val="clear" w:color="auto" w:fill="auto"/>
            <w:noWrap/>
            <w:vAlign w:val="bottom"/>
            <w:hideMark/>
          </w:tcPr>
          <w:p w14:paraId="7BD81E8A"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0.268</w:t>
            </w:r>
          </w:p>
        </w:tc>
        <w:tc>
          <w:tcPr>
            <w:tcW w:w="553" w:type="pct"/>
            <w:shd w:val="clear" w:color="auto" w:fill="auto"/>
            <w:noWrap/>
            <w:vAlign w:val="bottom"/>
          </w:tcPr>
          <w:p w14:paraId="2D187D09" w14:textId="77777777" w:rsidR="00FE37DB" w:rsidRPr="00A20A17" w:rsidRDefault="00FE37DB" w:rsidP="00A80B48">
            <w:pPr>
              <w:spacing w:after="0" w:line="240" w:lineRule="auto"/>
              <w:jc w:val="right"/>
              <w:rPr>
                <w:rFonts w:ascii="Calibri" w:hAnsi="Calibri" w:cs="Calibri"/>
                <w:color w:val="000000"/>
                <w:lang w:eastAsia="en-GB"/>
              </w:rPr>
            </w:pPr>
          </w:p>
        </w:tc>
        <w:tc>
          <w:tcPr>
            <w:tcW w:w="565" w:type="pct"/>
            <w:shd w:val="clear" w:color="auto" w:fill="auto"/>
            <w:noWrap/>
            <w:vAlign w:val="bottom"/>
          </w:tcPr>
          <w:p w14:paraId="1F818123" w14:textId="77777777" w:rsidR="00FE37DB" w:rsidRPr="00A20A17" w:rsidRDefault="00FE37DB" w:rsidP="00A80B48">
            <w:pPr>
              <w:spacing w:after="0" w:line="240" w:lineRule="auto"/>
              <w:jc w:val="right"/>
              <w:rPr>
                <w:rFonts w:ascii="Calibri" w:hAnsi="Calibri" w:cs="Calibri"/>
                <w:color w:val="000000"/>
                <w:lang w:eastAsia="en-GB"/>
              </w:rPr>
            </w:pPr>
          </w:p>
        </w:tc>
        <w:tc>
          <w:tcPr>
            <w:tcW w:w="535" w:type="pct"/>
            <w:shd w:val="clear" w:color="auto" w:fill="auto"/>
            <w:noWrap/>
            <w:vAlign w:val="bottom"/>
          </w:tcPr>
          <w:p w14:paraId="4643DE67" w14:textId="77777777" w:rsidR="00FE37DB" w:rsidRPr="00A20A17" w:rsidRDefault="00FE37DB" w:rsidP="00A80B48">
            <w:pPr>
              <w:spacing w:after="0" w:line="240" w:lineRule="auto"/>
              <w:jc w:val="right"/>
              <w:rPr>
                <w:rFonts w:ascii="Calibri" w:hAnsi="Calibri" w:cs="Calibri"/>
                <w:color w:val="000000"/>
                <w:lang w:eastAsia="en-GB"/>
              </w:rPr>
            </w:pPr>
          </w:p>
        </w:tc>
        <w:tc>
          <w:tcPr>
            <w:tcW w:w="590" w:type="pct"/>
            <w:shd w:val="clear" w:color="auto" w:fill="auto"/>
            <w:noWrap/>
            <w:vAlign w:val="bottom"/>
          </w:tcPr>
          <w:p w14:paraId="34B7E238" w14:textId="77777777" w:rsidR="00FE37DB" w:rsidRPr="00A20A17" w:rsidRDefault="00FE37DB" w:rsidP="00A80B48">
            <w:pPr>
              <w:spacing w:after="0" w:line="240" w:lineRule="auto"/>
              <w:jc w:val="right"/>
              <w:rPr>
                <w:rFonts w:ascii="Calibri" w:hAnsi="Calibri" w:cs="Calibri"/>
                <w:color w:val="000000"/>
                <w:lang w:eastAsia="en-GB"/>
              </w:rPr>
            </w:pPr>
          </w:p>
        </w:tc>
        <w:tc>
          <w:tcPr>
            <w:tcW w:w="533" w:type="pct"/>
            <w:shd w:val="clear" w:color="auto" w:fill="auto"/>
            <w:noWrap/>
            <w:vAlign w:val="bottom"/>
          </w:tcPr>
          <w:p w14:paraId="0D6E5F28" w14:textId="77777777" w:rsidR="00FE37DB" w:rsidRPr="00A20A17" w:rsidRDefault="00FE37DB" w:rsidP="00A80B48">
            <w:pPr>
              <w:spacing w:after="0" w:line="240" w:lineRule="auto"/>
              <w:jc w:val="right"/>
              <w:rPr>
                <w:rFonts w:ascii="Calibri" w:hAnsi="Calibri" w:cs="Calibri"/>
                <w:color w:val="000000"/>
                <w:lang w:eastAsia="en-GB"/>
              </w:rPr>
            </w:pPr>
          </w:p>
        </w:tc>
      </w:tr>
      <w:tr w:rsidR="00FE37DB" w:rsidRPr="00A20A17" w14:paraId="6E6076F7" w14:textId="77777777" w:rsidTr="00A80B48">
        <w:trPr>
          <w:trHeight w:val="300"/>
        </w:trPr>
        <w:tc>
          <w:tcPr>
            <w:tcW w:w="988" w:type="pct"/>
            <w:shd w:val="clear" w:color="auto" w:fill="auto"/>
            <w:noWrap/>
            <w:hideMark/>
          </w:tcPr>
          <w:p w14:paraId="1E37F49C" w14:textId="77777777" w:rsidR="00FE37DB" w:rsidRPr="00A20A17" w:rsidRDefault="00FE37DB" w:rsidP="00A80B48">
            <w:pPr>
              <w:spacing w:after="0" w:line="240" w:lineRule="auto"/>
              <w:rPr>
                <w:rFonts w:ascii="Calibri" w:hAnsi="Calibri" w:cs="Calibri"/>
                <w:color w:val="000000"/>
                <w:szCs w:val="18"/>
                <w:lang w:eastAsia="en-GB"/>
              </w:rPr>
            </w:pPr>
            <w:r w:rsidRPr="00A20A17">
              <w:rPr>
                <w:rFonts w:ascii="Calibri" w:hAnsi="Calibri" w:cs="Calibri"/>
                <w:color w:val="000000"/>
                <w:szCs w:val="18"/>
                <w:lang w:eastAsia="en-GB"/>
              </w:rPr>
              <w:t>Q</w:t>
            </w:r>
          </w:p>
        </w:tc>
        <w:tc>
          <w:tcPr>
            <w:tcW w:w="582" w:type="pct"/>
            <w:shd w:val="clear" w:color="auto" w:fill="auto"/>
            <w:noWrap/>
            <w:vAlign w:val="bottom"/>
            <w:hideMark/>
          </w:tcPr>
          <w:p w14:paraId="63AFCF60"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-0.141</w:t>
            </w:r>
          </w:p>
        </w:tc>
        <w:tc>
          <w:tcPr>
            <w:tcW w:w="655" w:type="pct"/>
            <w:shd w:val="clear" w:color="auto" w:fill="auto"/>
            <w:noWrap/>
            <w:vAlign w:val="bottom"/>
            <w:hideMark/>
          </w:tcPr>
          <w:p w14:paraId="6AB37362"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-0.343</w:t>
            </w:r>
          </w:p>
        </w:tc>
        <w:tc>
          <w:tcPr>
            <w:tcW w:w="553" w:type="pct"/>
            <w:shd w:val="clear" w:color="auto" w:fill="auto"/>
            <w:noWrap/>
            <w:vAlign w:val="bottom"/>
            <w:hideMark/>
          </w:tcPr>
          <w:p w14:paraId="015E6AD2"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0.079</w:t>
            </w:r>
          </w:p>
        </w:tc>
        <w:tc>
          <w:tcPr>
            <w:tcW w:w="565" w:type="pct"/>
            <w:shd w:val="clear" w:color="auto" w:fill="auto"/>
            <w:noWrap/>
            <w:vAlign w:val="bottom"/>
          </w:tcPr>
          <w:p w14:paraId="1E34A334" w14:textId="77777777" w:rsidR="00FE37DB" w:rsidRPr="00A20A17" w:rsidRDefault="00FE37DB" w:rsidP="00A80B48">
            <w:pPr>
              <w:spacing w:after="0" w:line="240" w:lineRule="auto"/>
              <w:jc w:val="right"/>
              <w:rPr>
                <w:rFonts w:ascii="Calibri" w:hAnsi="Calibri" w:cs="Calibri"/>
                <w:color w:val="000000"/>
                <w:lang w:eastAsia="en-GB"/>
              </w:rPr>
            </w:pPr>
          </w:p>
        </w:tc>
        <w:tc>
          <w:tcPr>
            <w:tcW w:w="535" w:type="pct"/>
            <w:shd w:val="clear" w:color="auto" w:fill="auto"/>
            <w:noWrap/>
            <w:vAlign w:val="bottom"/>
          </w:tcPr>
          <w:p w14:paraId="6465BC1C" w14:textId="77777777" w:rsidR="00FE37DB" w:rsidRPr="00A20A17" w:rsidRDefault="00FE37DB" w:rsidP="00A80B48">
            <w:pPr>
              <w:spacing w:after="0" w:line="240" w:lineRule="auto"/>
              <w:jc w:val="right"/>
              <w:rPr>
                <w:rFonts w:ascii="Calibri" w:hAnsi="Calibri" w:cs="Calibri"/>
                <w:color w:val="000000"/>
                <w:lang w:eastAsia="en-GB"/>
              </w:rPr>
            </w:pPr>
          </w:p>
        </w:tc>
        <w:tc>
          <w:tcPr>
            <w:tcW w:w="590" w:type="pct"/>
            <w:shd w:val="clear" w:color="auto" w:fill="auto"/>
            <w:noWrap/>
            <w:vAlign w:val="bottom"/>
          </w:tcPr>
          <w:p w14:paraId="2DEE68AF" w14:textId="77777777" w:rsidR="00FE37DB" w:rsidRPr="00A20A17" w:rsidRDefault="00FE37DB" w:rsidP="00A80B48">
            <w:pPr>
              <w:spacing w:after="0" w:line="240" w:lineRule="auto"/>
              <w:jc w:val="right"/>
              <w:rPr>
                <w:rFonts w:ascii="Calibri" w:hAnsi="Calibri" w:cs="Calibri"/>
                <w:color w:val="000000"/>
                <w:lang w:eastAsia="en-GB"/>
              </w:rPr>
            </w:pPr>
          </w:p>
        </w:tc>
        <w:tc>
          <w:tcPr>
            <w:tcW w:w="533" w:type="pct"/>
            <w:shd w:val="clear" w:color="auto" w:fill="auto"/>
            <w:noWrap/>
            <w:vAlign w:val="bottom"/>
          </w:tcPr>
          <w:p w14:paraId="2E32CFF3" w14:textId="77777777" w:rsidR="00FE37DB" w:rsidRPr="00A20A17" w:rsidRDefault="00FE37DB" w:rsidP="00A80B48">
            <w:pPr>
              <w:spacing w:after="0" w:line="240" w:lineRule="auto"/>
              <w:jc w:val="right"/>
              <w:rPr>
                <w:rFonts w:ascii="Calibri" w:hAnsi="Calibri" w:cs="Calibri"/>
                <w:color w:val="000000"/>
                <w:lang w:eastAsia="en-GB"/>
              </w:rPr>
            </w:pPr>
          </w:p>
        </w:tc>
      </w:tr>
      <w:tr w:rsidR="00FE37DB" w:rsidRPr="00A20A17" w14:paraId="3504B573" w14:textId="77777777" w:rsidTr="00A80B48">
        <w:trPr>
          <w:trHeight w:val="300"/>
        </w:trPr>
        <w:tc>
          <w:tcPr>
            <w:tcW w:w="988" w:type="pct"/>
            <w:shd w:val="clear" w:color="auto" w:fill="auto"/>
            <w:noWrap/>
            <w:hideMark/>
          </w:tcPr>
          <w:p w14:paraId="05C0CBD5" w14:textId="77777777" w:rsidR="00FE37DB" w:rsidRPr="00A20A17" w:rsidRDefault="00FE37DB" w:rsidP="00A80B48">
            <w:pPr>
              <w:spacing w:after="0" w:line="240" w:lineRule="auto"/>
              <w:rPr>
                <w:rFonts w:ascii="Calibri" w:hAnsi="Calibri" w:cs="Calibri"/>
                <w:color w:val="000000"/>
                <w:szCs w:val="18"/>
                <w:lang w:eastAsia="en-GB"/>
              </w:rPr>
            </w:pPr>
            <w:r w:rsidRPr="00A20A17">
              <w:rPr>
                <w:rFonts w:ascii="Calibri" w:hAnsi="Calibri" w:cs="Calibri"/>
                <w:color w:val="000000"/>
                <w:szCs w:val="18"/>
                <w:lang w:eastAsia="en-GB"/>
              </w:rPr>
              <w:t>male</w:t>
            </w:r>
          </w:p>
        </w:tc>
        <w:tc>
          <w:tcPr>
            <w:tcW w:w="582" w:type="pct"/>
            <w:shd w:val="clear" w:color="auto" w:fill="auto"/>
            <w:noWrap/>
            <w:vAlign w:val="bottom"/>
            <w:hideMark/>
          </w:tcPr>
          <w:p w14:paraId="505865A6"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-0.160</w:t>
            </w:r>
          </w:p>
        </w:tc>
        <w:tc>
          <w:tcPr>
            <w:tcW w:w="655" w:type="pct"/>
            <w:shd w:val="clear" w:color="auto" w:fill="auto"/>
            <w:noWrap/>
            <w:vAlign w:val="bottom"/>
            <w:hideMark/>
          </w:tcPr>
          <w:p w14:paraId="6A405EC7"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0.012</w:t>
            </w:r>
          </w:p>
        </w:tc>
        <w:tc>
          <w:tcPr>
            <w:tcW w:w="553" w:type="pct"/>
            <w:shd w:val="clear" w:color="auto" w:fill="auto"/>
            <w:noWrap/>
            <w:vAlign w:val="bottom"/>
            <w:hideMark/>
          </w:tcPr>
          <w:p w14:paraId="4280F174"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0.010</w:t>
            </w:r>
          </w:p>
        </w:tc>
        <w:tc>
          <w:tcPr>
            <w:tcW w:w="565" w:type="pct"/>
            <w:shd w:val="clear" w:color="auto" w:fill="auto"/>
            <w:noWrap/>
            <w:vAlign w:val="bottom"/>
            <w:hideMark/>
          </w:tcPr>
          <w:p w14:paraId="67BBBDF7"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0.253</w:t>
            </w:r>
          </w:p>
        </w:tc>
        <w:tc>
          <w:tcPr>
            <w:tcW w:w="535" w:type="pct"/>
            <w:shd w:val="clear" w:color="auto" w:fill="auto"/>
            <w:noWrap/>
            <w:vAlign w:val="bottom"/>
          </w:tcPr>
          <w:p w14:paraId="287389DE" w14:textId="77777777" w:rsidR="00FE37DB" w:rsidRPr="00A20A17" w:rsidRDefault="00FE37DB" w:rsidP="00A80B48">
            <w:pPr>
              <w:spacing w:after="0" w:line="240" w:lineRule="auto"/>
              <w:jc w:val="right"/>
              <w:rPr>
                <w:rFonts w:ascii="Calibri" w:hAnsi="Calibri" w:cs="Calibri"/>
                <w:color w:val="000000"/>
                <w:lang w:eastAsia="en-GB"/>
              </w:rPr>
            </w:pPr>
          </w:p>
        </w:tc>
        <w:tc>
          <w:tcPr>
            <w:tcW w:w="590" w:type="pct"/>
            <w:shd w:val="clear" w:color="auto" w:fill="auto"/>
            <w:noWrap/>
            <w:vAlign w:val="bottom"/>
          </w:tcPr>
          <w:p w14:paraId="737CDB05" w14:textId="77777777" w:rsidR="00FE37DB" w:rsidRPr="00A20A17" w:rsidRDefault="00FE37DB" w:rsidP="00A80B48">
            <w:pPr>
              <w:spacing w:after="0" w:line="240" w:lineRule="auto"/>
              <w:jc w:val="right"/>
              <w:rPr>
                <w:rFonts w:ascii="Calibri" w:hAnsi="Calibri" w:cs="Calibri"/>
                <w:color w:val="000000"/>
                <w:lang w:eastAsia="en-GB"/>
              </w:rPr>
            </w:pPr>
          </w:p>
        </w:tc>
        <w:tc>
          <w:tcPr>
            <w:tcW w:w="533" w:type="pct"/>
            <w:shd w:val="clear" w:color="auto" w:fill="auto"/>
            <w:noWrap/>
            <w:vAlign w:val="bottom"/>
          </w:tcPr>
          <w:p w14:paraId="17EB32B3" w14:textId="77777777" w:rsidR="00FE37DB" w:rsidRPr="00A20A17" w:rsidRDefault="00FE37DB" w:rsidP="00A80B48">
            <w:pPr>
              <w:spacing w:after="0" w:line="240" w:lineRule="auto"/>
              <w:jc w:val="right"/>
              <w:rPr>
                <w:rFonts w:ascii="Calibri" w:hAnsi="Calibri" w:cs="Calibri"/>
                <w:color w:val="000000"/>
                <w:lang w:eastAsia="en-GB"/>
              </w:rPr>
            </w:pPr>
          </w:p>
        </w:tc>
      </w:tr>
      <w:tr w:rsidR="00FE37DB" w:rsidRPr="00A20A17" w14:paraId="482AD30A" w14:textId="77777777" w:rsidTr="00A80B48">
        <w:trPr>
          <w:trHeight w:val="300"/>
        </w:trPr>
        <w:tc>
          <w:tcPr>
            <w:tcW w:w="988" w:type="pct"/>
            <w:shd w:val="clear" w:color="auto" w:fill="auto"/>
            <w:noWrap/>
            <w:hideMark/>
          </w:tcPr>
          <w:p w14:paraId="10B1CE01" w14:textId="77777777" w:rsidR="00FE37DB" w:rsidRPr="00A20A17" w:rsidRDefault="00FE37DB" w:rsidP="00A80B48">
            <w:pPr>
              <w:spacing w:after="0" w:line="240" w:lineRule="auto"/>
              <w:rPr>
                <w:rFonts w:ascii="Calibri" w:hAnsi="Calibri" w:cs="Calibri"/>
                <w:color w:val="000000"/>
                <w:szCs w:val="18"/>
                <w:lang w:eastAsia="en-GB"/>
              </w:rPr>
            </w:pPr>
            <w:r w:rsidRPr="00A20A17">
              <w:rPr>
                <w:rFonts w:ascii="Calibri" w:hAnsi="Calibri" w:cs="Calibri"/>
                <w:color w:val="000000"/>
                <w:szCs w:val="18"/>
                <w:lang w:eastAsia="en-GB"/>
              </w:rPr>
              <w:t>age</w:t>
            </w:r>
          </w:p>
        </w:tc>
        <w:tc>
          <w:tcPr>
            <w:tcW w:w="582" w:type="pct"/>
            <w:shd w:val="clear" w:color="auto" w:fill="auto"/>
            <w:noWrap/>
            <w:vAlign w:val="bottom"/>
            <w:hideMark/>
          </w:tcPr>
          <w:p w14:paraId="1038ABF2"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-0.010</w:t>
            </w:r>
          </w:p>
        </w:tc>
        <w:tc>
          <w:tcPr>
            <w:tcW w:w="655" w:type="pct"/>
            <w:shd w:val="clear" w:color="auto" w:fill="auto"/>
            <w:noWrap/>
            <w:vAlign w:val="bottom"/>
            <w:hideMark/>
          </w:tcPr>
          <w:p w14:paraId="69292380"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0.004</w:t>
            </w:r>
          </w:p>
        </w:tc>
        <w:tc>
          <w:tcPr>
            <w:tcW w:w="553" w:type="pct"/>
            <w:shd w:val="clear" w:color="auto" w:fill="auto"/>
            <w:noWrap/>
            <w:vAlign w:val="bottom"/>
            <w:hideMark/>
          </w:tcPr>
          <w:p w14:paraId="6A43D55E"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0.001</w:t>
            </w:r>
          </w:p>
        </w:tc>
        <w:tc>
          <w:tcPr>
            <w:tcW w:w="565" w:type="pct"/>
            <w:shd w:val="clear" w:color="auto" w:fill="auto"/>
            <w:noWrap/>
            <w:vAlign w:val="bottom"/>
            <w:hideMark/>
          </w:tcPr>
          <w:p w14:paraId="475D5841"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0.000</w:t>
            </w:r>
          </w:p>
        </w:tc>
        <w:tc>
          <w:tcPr>
            <w:tcW w:w="535" w:type="pct"/>
            <w:shd w:val="clear" w:color="auto" w:fill="auto"/>
            <w:noWrap/>
            <w:vAlign w:val="bottom"/>
            <w:hideMark/>
          </w:tcPr>
          <w:p w14:paraId="630F9F09"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0.007</w:t>
            </w:r>
          </w:p>
        </w:tc>
        <w:tc>
          <w:tcPr>
            <w:tcW w:w="590" w:type="pct"/>
            <w:shd w:val="clear" w:color="auto" w:fill="auto"/>
            <w:noWrap/>
            <w:vAlign w:val="bottom"/>
          </w:tcPr>
          <w:p w14:paraId="69550BE9" w14:textId="77777777" w:rsidR="00FE37DB" w:rsidRPr="00A20A17" w:rsidRDefault="00FE37DB" w:rsidP="00A80B48">
            <w:pPr>
              <w:spacing w:after="0" w:line="240" w:lineRule="auto"/>
              <w:jc w:val="right"/>
              <w:rPr>
                <w:rFonts w:ascii="Calibri" w:hAnsi="Calibri" w:cs="Calibri"/>
                <w:color w:val="000000"/>
                <w:lang w:eastAsia="en-GB"/>
              </w:rPr>
            </w:pPr>
          </w:p>
        </w:tc>
        <w:tc>
          <w:tcPr>
            <w:tcW w:w="533" w:type="pct"/>
            <w:shd w:val="clear" w:color="auto" w:fill="auto"/>
            <w:noWrap/>
            <w:vAlign w:val="bottom"/>
          </w:tcPr>
          <w:p w14:paraId="7EB6DC35" w14:textId="77777777" w:rsidR="00FE37DB" w:rsidRPr="00A20A17" w:rsidRDefault="00FE37DB" w:rsidP="00A80B48">
            <w:pPr>
              <w:spacing w:after="0" w:line="240" w:lineRule="auto"/>
              <w:jc w:val="right"/>
              <w:rPr>
                <w:rFonts w:ascii="Calibri" w:hAnsi="Calibri" w:cs="Calibri"/>
                <w:color w:val="000000"/>
                <w:lang w:eastAsia="en-GB"/>
              </w:rPr>
            </w:pPr>
          </w:p>
        </w:tc>
      </w:tr>
      <w:tr w:rsidR="00FE37DB" w:rsidRPr="00A20A17" w14:paraId="0EF8F431" w14:textId="77777777" w:rsidTr="00A80B48">
        <w:trPr>
          <w:trHeight w:val="300"/>
        </w:trPr>
        <w:tc>
          <w:tcPr>
            <w:tcW w:w="988" w:type="pct"/>
            <w:shd w:val="clear" w:color="auto" w:fill="auto"/>
            <w:noWrap/>
            <w:hideMark/>
          </w:tcPr>
          <w:p w14:paraId="2DEF1527" w14:textId="77777777" w:rsidR="00FE37DB" w:rsidRPr="00A20A17" w:rsidRDefault="00FE37DB" w:rsidP="00A80B48">
            <w:pPr>
              <w:spacing w:after="0" w:line="240" w:lineRule="auto"/>
              <w:rPr>
                <w:rFonts w:ascii="Calibri" w:hAnsi="Calibri" w:cs="Calibri"/>
                <w:color w:val="000000"/>
                <w:szCs w:val="18"/>
                <w:lang w:eastAsia="en-GB"/>
              </w:rPr>
            </w:pPr>
            <w:r w:rsidRPr="00A20A17">
              <w:rPr>
                <w:rFonts w:ascii="Calibri" w:hAnsi="Calibri" w:cs="Calibri"/>
                <w:color w:val="000000"/>
                <w:szCs w:val="18"/>
                <w:lang w:eastAsia="en-GB"/>
              </w:rPr>
              <w:t>PT-LDLC</w:t>
            </w:r>
          </w:p>
        </w:tc>
        <w:tc>
          <w:tcPr>
            <w:tcW w:w="582" w:type="pct"/>
            <w:shd w:val="clear" w:color="auto" w:fill="auto"/>
            <w:noWrap/>
            <w:vAlign w:val="bottom"/>
            <w:hideMark/>
          </w:tcPr>
          <w:p w14:paraId="480B4FEF"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-0.070</w:t>
            </w:r>
          </w:p>
        </w:tc>
        <w:tc>
          <w:tcPr>
            <w:tcW w:w="655" w:type="pct"/>
            <w:shd w:val="clear" w:color="auto" w:fill="auto"/>
            <w:noWrap/>
            <w:vAlign w:val="bottom"/>
            <w:hideMark/>
          </w:tcPr>
          <w:p w14:paraId="75066AB3"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0.006</w:t>
            </w:r>
          </w:p>
        </w:tc>
        <w:tc>
          <w:tcPr>
            <w:tcW w:w="553" w:type="pct"/>
            <w:shd w:val="clear" w:color="auto" w:fill="auto"/>
            <w:noWrap/>
            <w:vAlign w:val="bottom"/>
            <w:hideMark/>
          </w:tcPr>
          <w:p w14:paraId="12383DEE"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0.016</w:t>
            </w:r>
          </w:p>
        </w:tc>
        <w:tc>
          <w:tcPr>
            <w:tcW w:w="565" w:type="pct"/>
            <w:shd w:val="clear" w:color="auto" w:fill="auto"/>
            <w:noWrap/>
            <w:vAlign w:val="bottom"/>
            <w:hideMark/>
          </w:tcPr>
          <w:p w14:paraId="12AC9254"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-0.019</w:t>
            </w:r>
          </w:p>
        </w:tc>
        <w:tc>
          <w:tcPr>
            <w:tcW w:w="535" w:type="pct"/>
            <w:shd w:val="clear" w:color="auto" w:fill="auto"/>
            <w:noWrap/>
            <w:vAlign w:val="bottom"/>
            <w:hideMark/>
          </w:tcPr>
          <w:p w14:paraId="01766335"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-0.055</w:t>
            </w:r>
          </w:p>
        </w:tc>
        <w:tc>
          <w:tcPr>
            <w:tcW w:w="590" w:type="pct"/>
            <w:shd w:val="clear" w:color="auto" w:fill="auto"/>
            <w:noWrap/>
            <w:vAlign w:val="bottom"/>
            <w:hideMark/>
          </w:tcPr>
          <w:p w14:paraId="35C88EB1"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0.025</w:t>
            </w:r>
          </w:p>
        </w:tc>
        <w:tc>
          <w:tcPr>
            <w:tcW w:w="533" w:type="pct"/>
            <w:shd w:val="clear" w:color="auto" w:fill="auto"/>
            <w:noWrap/>
            <w:vAlign w:val="bottom"/>
          </w:tcPr>
          <w:p w14:paraId="6A16FD1B" w14:textId="77777777" w:rsidR="00FE37DB" w:rsidRPr="00A20A17" w:rsidRDefault="00FE37DB" w:rsidP="00A80B48">
            <w:pPr>
              <w:spacing w:after="0" w:line="240" w:lineRule="auto"/>
              <w:jc w:val="right"/>
              <w:rPr>
                <w:rFonts w:ascii="Calibri" w:hAnsi="Calibri" w:cs="Calibri"/>
                <w:color w:val="000000"/>
                <w:lang w:eastAsia="en-GB"/>
              </w:rPr>
            </w:pPr>
          </w:p>
        </w:tc>
      </w:tr>
      <w:tr w:rsidR="00FE37DB" w:rsidRPr="00A20A17" w14:paraId="2F407639" w14:textId="77777777" w:rsidTr="00A80B48">
        <w:trPr>
          <w:trHeight w:val="300"/>
        </w:trPr>
        <w:tc>
          <w:tcPr>
            <w:tcW w:w="988" w:type="pct"/>
            <w:shd w:val="clear" w:color="auto" w:fill="auto"/>
            <w:noWrap/>
            <w:hideMark/>
          </w:tcPr>
          <w:p w14:paraId="7FBCA72E" w14:textId="77777777" w:rsidR="00FE37DB" w:rsidRPr="00A20A17" w:rsidRDefault="00FE37DB" w:rsidP="00A80B48">
            <w:pPr>
              <w:spacing w:after="0" w:line="240" w:lineRule="auto"/>
              <w:rPr>
                <w:rFonts w:ascii="Calibri" w:hAnsi="Calibri" w:cs="Calibri"/>
                <w:color w:val="000000"/>
                <w:szCs w:val="18"/>
                <w:lang w:eastAsia="en-GB"/>
              </w:rPr>
            </w:pPr>
            <w:r w:rsidRPr="00A20A17">
              <w:rPr>
                <w:rFonts w:ascii="Calibri" w:hAnsi="Calibri" w:cs="Calibri"/>
                <w:color w:val="000000"/>
                <w:szCs w:val="18"/>
                <w:lang w:eastAsia="en-GB"/>
              </w:rPr>
              <w:t>CV history</w:t>
            </w:r>
          </w:p>
        </w:tc>
        <w:tc>
          <w:tcPr>
            <w:tcW w:w="582" w:type="pct"/>
            <w:shd w:val="clear" w:color="auto" w:fill="auto"/>
            <w:noWrap/>
            <w:vAlign w:val="bottom"/>
            <w:hideMark/>
          </w:tcPr>
          <w:p w14:paraId="03669670"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-0.231</w:t>
            </w:r>
          </w:p>
        </w:tc>
        <w:tc>
          <w:tcPr>
            <w:tcW w:w="655" w:type="pct"/>
            <w:shd w:val="clear" w:color="auto" w:fill="auto"/>
            <w:noWrap/>
            <w:vAlign w:val="bottom"/>
            <w:hideMark/>
          </w:tcPr>
          <w:p w14:paraId="11A5EA95"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-0.372</w:t>
            </w:r>
          </w:p>
        </w:tc>
        <w:tc>
          <w:tcPr>
            <w:tcW w:w="553" w:type="pct"/>
            <w:shd w:val="clear" w:color="auto" w:fill="auto"/>
            <w:noWrap/>
            <w:vAlign w:val="bottom"/>
            <w:hideMark/>
          </w:tcPr>
          <w:p w14:paraId="252509D5"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-0.039</w:t>
            </w:r>
          </w:p>
        </w:tc>
        <w:tc>
          <w:tcPr>
            <w:tcW w:w="565" w:type="pct"/>
            <w:shd w:val="clear" w:color="auto" w:fill="auto"/>
            <w:noWrap/>
            <w:vAlign w:val="bottom"/>
            <w:hideMark/>
          </w:tcPr>
          <w:p w14:paraId="18F6F098"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-0.016</w:t>
            </w:r>
          </w:p>
        </w:tc>
        <w:tc>
          <w:tcPr>
            <w:tcW w:w="535" w:type="pct"/>
            <w:shd w:val="clear" w:color="auto" w:fill="auto"/>
            <w:noWrap/>
            <w:vAlign w:val="bottom"/>
            <w:hideMark/>
          </w:tcPr>
          <w:p w14:paraId="5478C43E"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-0.092</w:t>
            </w:r>
          </w:p>
        </w:tc>
        <w:tc>
          <w:tcPr>
            <w:tcW w:w="590" w:type="pct"/>
            <w:shd w:val="clear" w:color="auto" w:fill="auto"/>
            <w:noWrap/>
            <w:vAlign w:val="bottom"/>
            <w:hideMark/>
          </w:tcPr>
          <w:p w14:paraId="380D743D"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-0.134</w:t>
            </w:r>
          </w:p>
        </w:tc>
        <w:tc>
          <w:tcPr>
            <w:tcW w:w="533" w:type="pct"/>
            <w:shd w:val="clear" w:color="auto" w:fill="auto"/>
            <w:noWrap/>
            <w:vAlign w:val="bottom"/>
            <w:hideMark/>
          </w:tcPr>
          <w:p w14:paraId="77310958"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0.356</w:t>
            </w:r>
          </w:p>
        </w:tc>
      </w:tr>
      <w:tr w:rsidR="00FE37DB" w:rsidRPr="00A20A17" w14:paraId="55A2B2C2" w14:textId="77777777" w:rsidTr="00A80B48">
        <w:trPr>
          <w:trHeight w:val="300"/>
        </w:trPr>
        <w:tc>
          <w:tcPr>
            <w:tcW w:w="5000" w:type="pct"/>
            <w:gridSpan w:val="8"/>
            <w:shd w:val="clear" w:color="auto" w:fill="auto"/>
            <w:noWrap/>
          </w:tcPr>
          <w:p w14:paraId="570428EB" w14:textId="77777777" w:rsidR="00FE37DB" w:rsidRPr="00A20A17" w:rsidRDefault="00FE37DB" w:rsidP="00A80B48">
            <w:pPr>
              <w:spacing w:after="0" w:line="240" w:lineRule="auto"/>
              <w:rPr>
                <w:rFonts w:ascii="Calibri" w:hAnsi="Calibri" w:cs="Calibri"/>
                <w:color w:val="000000"/>
                <w:lang w:eastAsia="en-GB"/>
              </w:rPr>
            </w:pPr>
            <w:r w:rsidRPr="00A20A17">
              <w:rPr>
                <w:rFonts w:ascii="Calibri" w:hAnsi="Calibri" w:cs="Calibri"/>
                <w:color w:val="000000"/>
                <w:lang w:eastAsia="en-GB"/>
              </w:rPr>
              <w:t>CV: Cardiovascular; PT-LDLC: Pre-Treatment Low Density Lipoprotein Cholesterol</w:t>
            </w:r>
          </w:p>
        </w:tc>
      </w:tr>
    </w:tbl>
    <w:p w14:paraId="5DB0B230" w14:textId="77777777" w:rsidR="00FE37DB" w:rsidRPr="00A20A17" w:rsidRDefault="00FE37DB" w:rsidP="00FE37DB">
      <w:pPr>
        <w:spacing w:before="120" w:after="120"/>
        <w:rPr>
          <w:rFonts w:ascii="Calibri" w:eastAsia="Calibri" w:hAnsi="Calibri" w:cs="Arial"/>
        </w:rPr>
      </w:pPr>
    </w:p>
    <w:p w14:paraId="5EB0C2FD" w14:textId="77777777" w:rsidR="00FE37DB" w:rsidRPr="00A20A17" w:rsidRDefault="00FE37DB" w:rsidP="00FE37DB">
      <w:pPr>
        <w:keepNext/>
        <w:spacing w:before="120"/>
        <w:rPr>
          <w:rFonts w:ascii="Calibri" w:eastAsia="Calibri" w:hAnsi="Calibri" w:cs="Arial"/>
          <w:i/>
          <w:iCs/>
          <w:color w:val="44546A"/>
          <w:sz w:val="18"/>
          <w:szCs w:val="18"/>
        </w:rPr>
      </w:pPr>
      <w:r w:rsidRPr="00A20A17">
        <w:rPr>
          <w:rFonts w:ascii="Calibri" w:eastAsia="Calibri" w:hAnsi="Calibri" w:cs="Arial"/>
          <w:i/>
          <w:iCs/>
          <w:color w:val="44546A"/>
          <w:sz w:val="18"/>
          <w:szCs w:val="18"/>
        </w:rPr>
        <w:t xml:space="preserve">Table </w:t>
      </w:r>
      <w:r w:rsidRPr="00A20A17">
        <w:rPr>
          <w:rFonts w:ascii="Calibri" w:eastAsia="Calibri" w:hAnsi="Calibri" w:cs="Arial"/>
          <w:i/>
          <w:iCs/>
          <w:color w:val="44546A"/>
          <w:sz w:val="18"/>
          <w:szCs w:val="18"/>
        </w:rPr>
        <w:fldChar w:fldCharType="begin"/>
      </w:r>
      <w:r w:rsidRPr="00A20A17">
        <w:rPr>
          <w:rFonts w:ascii="Calibri" w:eastAsia="Calibri" w:hAnsi="Calibri" w:cs="Arial"/>
          <w:i/>
          <w:iCs/>
          <w:color w:val="44546A"/>
          <w:sz w:val="18"/>
          <w:szCs w:val="18"/>
        </w:rPr>
        <w:instrText>SEQ Table \* ARABIC</w:instrText>
      </w:r>
      <w:r w:rsidRPr="00A20A17">
        <w:rPr>
          <w:rFonts w:ascii="Calibri" w:eastAsia="Calibri" w:hAnsi="Calibri" w:cs="Arial"/>
          <w:i/>
          <w:iCs/>
          <w:color w:val="44546A"/>
          <w:sz w:val="18"/>
          <w:szCs w:val="18"/>
        </w:rPr>
        <w:fldChar w:fldCharType="separate"/>
      </w:r>
      <w:r w:rsidRPr="00A20A17">
        <w:rPr>
          <w:rFonts w:ascii="Calibri" w:eastAsia="Calibri" w:hAnsi="Calibri" w:cs="Arial"/>
          <w:i/>
          <w:iCs/>
          <w:noProof/>
          <w:color w:val="44546A"/>
          <w:sz w:val="18"/>
          <w:szCs w:val="18"/>
        </w:rPr>
        <w:t>5</w:t>
      </w:r>
      <w:r w:rsidRPr="00A20A17">
        <w:rPr>
          <w:rFonts w:ascii="Calibri" w:eastAsia="Calibri" w:hAnsi="Calibri" w:cs="Arial"/>
          <w:i/>
          <w:iCs/>
          <w:color w:val="44546A"/>
          <w:sz w:val="18"/>
          <w:szCs w:val="18"/>
        </w:rPr>
        <w:fldChar w:fldCharType="end"/>
      </w:r>
      <w:r w:rsidRPr="00A20A17">
        <w:rPr>
          <w:rFonts w:ascii="Calibri" w:eastAsia="Calibri" w:hAnsi="Calibri" w:cs="Arial"/>
          <w:i/>
          <w:iCs/>
          <w:color w:val="44546A"/>
          <w:sz w:val="18"/>
          <w:szCs w:val="18"/>
        </w:rPr>
        <w:t>: Distribution of individuals by type of 1</w:t>
      </w:r>
      <w:r w:rsidRPr="00A20A17">
        <w:rPr>
          <w:rFonts w:ascii="Calibri" w:eastAsia="Calibri" w:hAnsi="Calibri" w:cs="Arial"/>
          <w:i/>
          <w:iCs/>
          <w:color w:val="44546A"/>
          <w:sz w:val="18"/>
          <w:szCs w:val="18"/>
          <w:vertAlign w:val="superscript"/>
        </w:rPr>
        <w:t>st</w:t>
      </w:r>
      <w:r w:rsidRPr="00A20A17">
        <w:rPr>
          <w:rFonts w:ascii="Calibri" w:eastAsia="Calibri" w:hAnsi="Calibri" w:cs="Arial"/>
          <w:i/>
          <w:iCs/>
          <w:color w:val="44546A"/>
          <w:sz w:val="18"/>
          <w:szCs w:val="18"/>
        </w:rPr>
        <w:t xml:space="preserve"> CV event</w:t>
      </w:r>
    </w:p>
    <w:tbl>
      <w:tblPr>
        <w:tblStyle w:val="TableGrid21"/>
        <w:tblW w:w="4085" w:type="pct"/>
        <w:tblLook w:val="04A0" w:firstRow="1" w:lastRow="0" w:firstColumn="1" w:lastColumn="0" w:noHBand="0" w:noVBand="1"/>
      </w:tblPr>
      <w:tblGrid>
        <w:gridCol w:w="5212"/>
        <w:gridCol w:w="1124"/>
        <w:gridCol w:w="1030"/>
      </w:tblGrid>
      <w:tr w:rsidR="00FE37DB" w:rsidRPr="00A20A17" w14:paraId="38E1D331" w14:textId="77777777" w:rsidTr="00A80B48">
        <w:trPr>
          <w:trHeight w:val="300"/>
        </w:trPr>
        <w:tc>
          <w:tcPr>
            <w:tcW w:w="3603" w:type="pct"/>
            <w:shd w:val="clear" w:color="auto" w:fill="auto"/>
            <w:noWrap/>
            <w:hideMark/>
          </w:tcPr>
          <w:p w14:paraId="3E353ECC" w14:textId="77777777" w:rsidR="00FE37DB" w:rsidRPr="00A20A17" w:rsidRDefault="00FE37DB" w:rsidP="00A80B48">
            <w:pPr>
              <w:spacing w:after="0" w:line="240" w:lineRule="auto"/>
              <w:rPr>
                <w:rFonts w:ascii="Calibri" w:hAnsi="Calibri" w:cs="Calibri"/>
                <w:b/>
                <w:bCs/>
                <w:color w:val="000000"/>
                <w:szCs w:val="18"/>
                <w:lang w:eastAsia="en-GB"/>
              </w:rPr>
            </w:pPr>
            <w:r w:rsidRPr="00A20A17">
              <w:rPr>
                <w:rFonts w:ascii="Calibri" w:hAnsi="Calibri" w:cs="Calibri"/>
                <w:b/>
                <w:bCs/>
                <w:color w:val="000000"/>
                <w:szCs w:val="18"/>
                <w:lang w:eastAsia="en-GB"/>
              </w:rPr>
              <w:t>Parameters</w:t>
            </w:r>
          </w:p>
        </w:tc>
        <w:tc>
          <w:tcPr>
            <w:tcW w:w="790" w:type="pct"/>
            <w:shd w:val="clear" w:color="auto" w:fill="auto"/>
            <w:noWrap/>
          </w:tcPr>
          <w:p w14:paraId="1BB6FE9D" w14:textId="77777777" w:rsidR="00FE37DB" w:rsidRPr="00A20A17" w:rsidRDefault="00FE37DB" w:rsidP="00A80B48">
            <w:pPr>
              <w:spacing w:after="0" w:line="240" w:lineRule="auto"/>
              <w:rPr>
                <w:rFonts w:ascii="Calibri" w:hAnsi="Calibri" w:cs="Calibri"/>
                <w:b/>
                <w:bCs/>
                <w:szCs w:val="18"/>
                <w:lang w:eastAsia="en-GB"/>
              </w:rPr>
            </w:pPr>
            <w:r w:rsidRPr="00A20A17">
              <w:rPr>
                <w:rFonts w:ascii="Calibri" w:hAnsi="Calibri" w:cs="Calibri"/>
                <w:b/>
                <w:bCs/>
                <w:szCs w:val="18"/>
                <w:lang w:eastAsia="en-GB"/>
              </w:rPr>
              <w:t>N</w:t>
            </w:r>
          </w:p>
        </w:tc>
        <w:tc>
          <w:tcPr>
            <w:tcW w:w="607" w:type="pct"/>
            <w:shd w:val="clear" w:color="auto" w:fill="auto"/>
            <w:noWrap/>
          </w:tcPr>
          <w:p w14:paraId="56529318" w14:textId="77777777" w:rsidR="00FE37DB" w:rsidRPr="00A20A17" w:rsidRDefault="00FE37DB" w:rsidP="00A80B48">
            <w:pPr>
              <w:spacing w:after="0" w:line="240" w:lineRule="auto"/>
              <w:rPr>
                <w:rFonts w:ascii="Calibri" w:hAnsi="Calibri" w:cs="Calibri"/>
                <w:b/>
                <w:bCs/>
                <w:color w:val="000000"/>
                <w:szCs w:val="18"/>
                <w:lang w:eastAsia="en-GB"/>
              </w:rPr>
            </w:pPr>
            <w:r w:rsidRPr="00A20A17">
              <w:rPr>
                <w:rFonts w:ascii="Calibri" w:hAnsi="Calibri" w:cs="Calibri"/>
                <w:b/>
                <w:bCs/>
                <w:color w:val="000000"/>
                <w:szCs w:val="18"/>
                <w:lang w:eastAsia="en-GB"/>
              </w:rPr>
              <w:t>Proportion</w:t>
            </w:r>
          </w:p>
        </w:tc>
      </w:tr>
      <w:tr w:rsidR="00FE37DB" w:rsidRPr="00A20A17" w14:paraId="1D37F315" w14:textId="77777777" w:rsidTr="00A80B48">
        <w:trPr>
          <w:trHeight w:val="300"/>
        </w:trPr>
        <w:tc>
          <w:tcPr>
            <w:tcW w:w="3603" w:type="pct"/>
            <w:shd w:val="clear" w:color="auto" w:fill="auto"/>
            <w:noWrap/>
          </w:tcPr>
          <w:p w14:paraId="4A6FBF9D" w14:textId="77777777" w:rsidR="00FE37DB" w:rsidRPr="00A20A17" w:rsidRDefault="00FE37DB" w:rsidP="00A80B48">
            <w:pPr>
              <w:spacing w:after="0" w:line="240" w:lineRule="auto"/>
              <w:rPr>
                <w:rFonts w:ascii="Calibri" w:hAnsi="Calibri" w:cs="Calibri"/>
                <w:szCs w:val="18"/>
                <w:lang w:eastAsia="en-GB"/>
              </w:rPr>
            </w:pPr>
            <w:r w:rsidRPr="00A20A17">
              <w:rPr>
                <w:rFonts w:ascii="Calibri" w:hAnsi="Calibri" w:cs="Calibri"/>
                <w:szCs w:val="18"/>
                <w:lang w:eastAsia="en-GB"/>
              </w:rPr>
              <w:t>Death</w:t>
            </w:r>
          </w:p>
        </w:tc>
        <w:tc>
          <w:tcPr>
            <w:tcW w:w="790" w:type="pct"/>
            <w:shd w:val="clear" w:color="auto" w:fill="auto"/>
            <w:noWrap/>
            <w:vAlign w:val="bottom"/>
          </w:tcPr>
          <w:p w14:paraId="3C16C872"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15</w:t>
            </w:r>
          </w:p>
        </w:tc>
        <w:tc>
          <w:tcPr>
            <w:tcW w:w="607" w:type="pct"/>
            <w:shd w:val="clear" w:color="auto" w:fill="auto"/>
            <w:noWrap/>
            <w:vAlign w:val="bottom"/>
          </w:tcPr>
          <w:p w14:paraId="51149228"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11%</w:t>
            </w:r>
          </w:p>
        </w:tc>
      </w:tr>
      <w:tr w:rsidR="00FE37DB" w:rsidRPr="00A20A17" w14:paraId="2083F28B" w14:textId="77777777" w:rsidTr="00A80B48">
        <w:trPr>
          <w:trHeight w:val="300"/>
        </w:trPr>
        <w:tc>
          <w:tcPr>
            <w:tcW w:w="3603" w:type="pct"/>
            <w:shd w:val="clear" w:color="auto" w:fill="auto"/>
            <w:noWrap/>
          </w:tcPr>
          <w:p w14:paraId="06752B59" w14:textId="77777777" w:rsidR="00FE37DB" w:rsidRPr="00A20A17" w:rsidRDefault="00FE37DB" w:rsidP="00A80B48">
            <w:pPr>
              <w:spacing w:after="0" w:line="240" w:lineRule="auto"/>
              <w:rPr>
                <w:rFonts w:ascii="Calibri" w:hAnsi="Calibri" w:cs="Calibri"/>
                <w:color w:val="000000"/>
                <w:szCs w:val="18"/>
                <w:lang w:eastAsia="en-GB"/>
              </w:rPr>
            </w:pPr>
            <w:r w:rsidRPr="00A20A17">
              <w:rPr>
                <w:rFonts w:ascii="Calibri" w:hAnsi="Calibri" w:cs="Calibri"/>
                <w:color w:val="000000"/>
                <w:szCs w:val="18"/>
                <w:lang w:eastAsia="en-GB"/>
              </w:rPr>
              <w:t>Non-fatal acute coronary syndrome</w:t>
            </w:r>
          </w:p>
        </w:tc>
        <w:tc>
          <w:tcPr>
            <w:tcW w:w="790" w:type="pct"/>
            <w:shd w:val="clear" w:color="auto" w:fill="auto"/>
            <w:noWrap/>
            <w:vAlign w:val="bottom"/>
          </w:tcPr>
          <w:p w14:paraId="580CAA15"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91</w:t>
            </w:r>
          </w:p>
        </w:tc>
        <w:tc>
          <w:tcPr>
            <w:tcW w:w="607" w:type="pct"/>
            <w:shd w:val="clear" w:color="auto" w:fill="auto"/>
            <w:noWrap/>
            <w:vAlign w:val="bottom"/>
          </w:tcPr>
          <w:p w14:paraId="78E5BCAB"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65%</w:t>
            </w:r>
          </w:p>
        </w:tc>
      </w:tr>
      <w:tr w:rsidR="00FE37DB" w:rsidRPr="00A20A17" w14:paraId="68BC231A" w14:textId="77777777" w:rsidTr="00A80B48">
        <w:trPr>
          <w:trHeight w:val="300"/>
        </w:trPr>
        <w:tc>
          <w:tcPr>
            <w:tcW w:w="3603" w:type="pct"/>
            <w:shd w:val="clear" w:color="auto" w:fill="auto"/>
            <w:noWrap/>
          </w:tcPr>
          <w:p w14:paraId="00FC933F" w14:textId="77777777" w:rsidR="00FE37DB" w:rsidRPr="00A20A17" w:rsidRDefault="00FE37DB" w:rsidP="00A80B48">
            <w:pPr>
              <w:spacing w:after="0" w:line="240" w:lineRule="auto"/>
              <w:rPr>
                <w:rFonts w:ascii="Calibri" w:hAnsi="Calibri" w:cs="Calibri"/>
                <w:color w:val="000000"/>
                <w:szCs w:val="18"/>
                <w:lang w:eastAsia="en-GB"/>
              </w:rPr>
            </w:pPr>
            <w:r w:rsidRPr="00A20A17">
              <w:rPr>
                <w:rFonts w:ascii="Calibri" w:hAnsi="Calibri" w:cs="Calibri"/>
                <w:color w:val="000000"/>
                <w:szCs w:val="18"/>
                <w:lang w:eastAsia="en-GB"/>
              </w:rPr>
              <w:t>Non-fatal transient ischaemic attack or ischaemic stroke</w:t>
            </w:r>
          </w:p>
        </w:tc>
        <w:tc>
          <w:tcPr>
            <w:tcW w:w="790" w:type="pct"/>
            <w:shd w:val="clear" w:color="auto" w:fill="auto"/>
            <w:noWrap/>
            <w:vAlign w:val="bottom"/>
          </w:tcPr>
          <w:p w14:paraId="74A975B5"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35</w:t>
            </w:r>
          </w:p>
        </w:tc>
        <w:tc>
          <w:tcPr>
            <w:tcW w:w="607" w:type="pct"/>
            <w:shd w:val="clear" w:color="auto" w:fill="auto"/>
            <w:noWrap/>
            <w:vAlign w:val="bottom"/>
          </w:tcPr>
          <w:p w14:paraId="241585D6"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25%</w:t>
            </w:r>
          </w:p>
        </w:tc>
      </w:tr>
      <w:tr w:rsidR="00FE37DB" w:rsidRPr="00A20A17" w14:paraId="7AA34D91" w14:textId="77777777" w:rsidTr="00A80B48">
        <w:trPr>
          <w:trHeight w:val="300"/>
        </w:trPr>
        <w:tc>
          <w:tcPr>
            <w:tcW w:w="5000" w:type="pct"/>
            <w:gridSpan w:val="3"/>
            <w:shd w:val="clear" w:color="auto" w:fill="auto"/>
            <w:noWrap/>
          </w:tcPr>
          <w:p w14:paraId="149B9DC6" w14:textId="77777777" w:rsidR="00FE37DB" w:rsidRDefault="00FE37DB" w:rsidP="00A80B48">
            <w:pPr>
              <w:spacing w:after="0" w:line="240" w:lineRule="auto"/>
              <w:rPr>
                <w:rFonts w:ascii="Calibri" w:hAnsi="Calibri" w:cs="Calibri"/>
                <w:color w:val="000000" w:themeColor="text1"/>
                <w:lang w:eastAsia="en-GB"/>
              </w:rPr>
            </w:pPr>
            <w:r w:rsidRPr="0A306F63">
              <w:rPr>
                <w:rFonts w:ascii="Calibri" w:hAnsi="Calibri" w:cs="Calibri"/>
                <w:color w:val="000000" w:themeColor="text1"/>
                <w:lang w:eastAsia="en-GB"/>
              </w:rPr>
              <w:t>Obtained from the analysis of time to first major cardiovascular event reported in Section 11.2</w:t>
            </w:r>
          </w:p>
          <w:p w14:paraId="31007C0A" w14:textId="77777777" w:rsidR="00FE37DB" w:rsidRPr="00A20A17" w:rsidRDefault="00FE37DB" w:rsidP="00A80B48">
            <w:pPr>
              <w:spacing w:after="0" w:line="240" w:lineRule="auto"/>
              <w:rPr>
                <w:rFonts w:ascii="Calibri" w:hAnsi="Calibri" w:cs="Calibri"/>
                <w:color w:val="000000"/>
                <w:lang w:eastAsia="en-GB"/>
              </w:rPr>
            </w:pPr>
            <w:r w:rsidRPr="00A20A17">
              <w:rPr>
                <w:rFonts w:ascii="Calibri" w:hAnsi="Calibri" w:cs="Calibri"/>
                <w:color w:val="000000"/>
                <w:lang w:eastAsia="en-GB"/>
              </w:rPr>
              <w:t>Distribution for probabilistic sensitivity analysis: Dirichlet</w:t>
            </w:r>
          </w:p>
        </w:tc>
      </w:tr>
    </w:tbl>
    <w:p w14:paraId="65E3ADE2" w14:textId="77777777" w:rsidR="00FE37DB" w:rsidRPr="00A20A17" w:rsidRDefault="00FE37DB" w:rsidP="00FE37DB">
      <w:pPr>
        <w:spacing w:before="120" w:after="120"/>
        <w:rPr>
          <w:rFonts w:ascii="Calibri" w:eastAsia="Calibri" w:hAnsi="Calibri" w:cs="Arial"/>
        </w:rPr>
      </w:pPr>
    </w:p>
    <w:p w14:paraId="6A929AD4" w14:textId="77777777" w:rsidR="00FE37DB" w:rsidRPr="00A20A17" w:rsidRDefault="00FE37DB" w:rsidP="00FE37DB">
      <w:pPr>
        <w:spacing w:before="120" w:after="120"/>
        <w:rPr>
          <w:rFonts w:ascii="Calibri" w:eastAsia="Calibri" w:hAnsi="Calibri" w:cs="Arial"/>
        </w:rPr>
      </w:pPr>
    </w:p>
    <w:p w14:paraId="154AAE28" w14:textId="77777777" w:rsidR="00FE37DB" w:rsidRPr="00A20A17" w:rsidRDefault="00FE37DB" w:rsidP="00FE37DB">
      <w:pPr>
        <w:keepNext/>
        <w:spacing w:before="120"/>
        <w:rPr>
          <w:rFonts w:ascii="Calibri" w:eastAsia="Calibri" w:hAnsi="Calibri" w:cs="Arial"/>
          <w:i/>
          <w:iCs/>
          <w:color w:val="44546A"/>
          <w:sz w:val="18"/>
          <w:szCs w:val="18"/>
        </w:rPr>
      </w:pPr>
      <w:r w:rsidRPr="00A20A17">
        <w:rPr>
          <w:rFonts w:ascii="Calibri" w:eastAsia="Calibri" w:hAnsi="Calibri" w:cs="Arial"/>
          <w:i/>
          <w:iCs/>
          <w:color w:val="44546A"/>
          <w:sz w:val="18"/>
          <w:szCs w:val="18"/>
        </w:rPr>
        <w:t xml:space="preserve">Table </w:t>
      </w:r>
      <w:r w:rsidRPr="00A20A17">
        <w:rPr>
          <w:rFonts w:ascii="Calibri" w:eastAsia="Calibri" w:hAnsi="Calibri" w:cs="Arial"/>
          <w:i/>
          <w:iCs/>
          <w:color w:val="44546A"/>
          <w:sz w:val="18"/>
          <w:szCs w:val="18"/>
        </w:rPr>
        <w:fldChar w:fldCharType="begin"/>
      </w:r>
      <w:r w:rsidRPr="00A20A17">
        <w:rPr>
          <w:rFonts w:ascii="Calibri" w:eastAsia="Calibri" w:hAnsi="Calibri" w:cs="Arial"/>
          <w:i/>
          <w:iCs/>
          <w:color w:val="44546A"/>
          <w:sz w:val="18"/>
          <w:szCs w:val="18"/>
        </w:rPr>
        <w:instrText>SEQ Table \* ARABIC</w:instrText>
      </w:r>
      <w:r w:rsidRPr="00A20A17">
        <w:rPr>
          <w:rFonts w:ascii="Calibri" w:eastAsia="Calibri" w:hAnsi="Calibri" w:cs="Arial"/>
          <w:i/>
          <w:iCs/>
          <w:color w:val="44546A"/>
          <w:sz w:val="18"/>
          <w:szCs w:val="18"/>
        </w:rPr>
        <w:fldChar w:fldCharType="separate"/>
      </w:r>
      <w:r w:rsidRPr="00A20A17">
        <w:rPr>
          <w:rFonts w:ascii="Calibri" w:eastAsia="Calibri" w:hAnsi="Calibri" w:cs="Arial"/>
          <w:i/>
          <w:iCs/>
          <w:noProof/>
          <w:color w:val="44546A"/>
          <w:sz w:val="18"/>
          <w:szCs w:val="18"/>
        </w:rPr>
        <w:t>6</w:t>
      </w:r>
      <w:r w:rsidRPr="00A20A17">
        <w:rPr>
          <w:rFonts w:ascii="Calibri" w:eastAsia="Calibri" w:hAnsi="Calibri" w:cs="Arial"/>
          <w:i/>
          <w:iCs/>
          <w:color w:val="44546A"/>
          <w:sz w:val="18"/>
          <w:szCs w:val="18"/>
        </w:rPr>
        <w:fldChar w:fldCharType="end"/>
      </w:r>
      <w:r w:rsidRPr="00A20A17">
        <w:rPr>
          <w:rFonts w:ascii="Calibri" w:eastAsia="Calibri" w:hAnsi="Calibri" w:cs="Arial"/>
          <w:i/>
          <w:iCs/>
          <w:color w:val="44546A"/>
          <w:sz w:val="18"/>
          <w:szCs w:val="18"/>
        </w:rPr>
        <w:t>: Calculation of risk adjustment from Perak et al</w:t>
      </w:r>
      <w:r w:rsidRPr="00A20A17">
        <w:rPr>
          <w:rFonts w:ascii="Calibri" w:eastAsia="Calibri" w:hAnsi="Calibri" w:cs="Arial"/>
          <w:i/>
          <w:iCs/>
          <w:color w:val="44546A"/>
          <w:sz w:val="18"/>
          <w:szCs w:val="18"/>
        </w:rPr>
        <w:fldChar w:fldCharType="begin"/>
      </w:r>
      <w:r w:rsidRPr="00A20A17">
        <w:rPr>
          <w:rFonts w:ascii="Calibri" w:eastAsia="Calibri" w:hAnsi="Calibri" w:cs="Arial"/>
          <w:i/>
          <w:iCs/>
          <w:color w:val="44546A"/>
          <w:sz w:val="18"/>
          <w:szCs w:val="18"/>
        </w:rPr>
        <w:instrText xml:space="preserve"> ADDIN EN.CITE &lt;EndNote&gt;&lt;Cite&gt;&lt;Author&gt;Perak&lt;/Author&gt;&lt;Year&gt;2016&lt;/Year&gt;&lt;IDText&gt;Long-Term Risk of Atherosclerotic Cardiovascular Disease in US Adults With the Familial Hypercholesterolemia Phenotype&lt;/IDText&gt;&lt;DisplayText&gt;&lt;style face="superscript"&gt;15&lt;/style&gt;&lt;/DisplayText&gt;&lt;record&gt;&lt;dates&gt;&lt;pub-dates&gt;&lt;date&gt;Jul&lt;/date&gt;&lt;/pub-dates&gt;&lt;year&gt;2016&lt;/year&gt;&lt;/dates&gt;&lt;keywords&gt;&lt;keyword&gt;Adult&lt;/keyword&gt;&lt;keyword&gt;Aged&lt;/keyword&gt;&lt;keyword&gt;Atherosclerosis&lt;/keyword&gt;&lt;keyword&gt;Cholesterol, LDL&lt;/keyword&gt;&lt;keyword&gt;Cohort Studies&lt;/keyword&gt;&lt;keyword&gt;Female&lt;/keyword&gt;&lt;keyword&gt;Genotype&lt;/keyword&gt;&lt;keyword&gt;Humans&lt;/keyword&gt;&lt;keyword&gt;Hyperlipoproteinemia Type II&lt;/keyword&gt;&lt;keyword&gt;Lipids&lt;/keyword&gt;&lt;keyword&gt;Male&lt;/keyword&gt;&lt;keyword&gt;Middle Aged&lt;/keyword&gt;&lt;keyword&gt;Phenotype&lt;/keyword&gt;&lt;keyword&gt;Prevalence&lt;/keyword&gt;&lt;keyword&gt;Proportional Hazards Models&lt;/keyword&gt;&lt;keyword&gt;Risk&lt;/keyword&gt;&lt;keyword&gt;United States&lt;/keyword&gt;&lt;keyword&gt;Young Adult&lt;/keyword&gt;&lt;keyword&gt;coronary disease&lt;/keyword&gt;&lt;keyword&gt;epidemiology&lt;/keyword&gt;&lt;keyword&gt;hypercholesterolemia&lt;/keyword&gt;&lt;/keywords&gt;&lt;urls&gt;&lt;related-urls&gt;&lt;url&gt;https://www.ncbi.nlm.nih.gov/pubmed/27358432&lt;/url&gt;&lt;/related-urls&gt;&lt;/urls&gt;&lt;isbn&gt;1524-4539&lt;/isbn&gt;&lt;custom2&gt;PMC4933328&lt;/custom2&gt;&lt;titles&gt;&lt;title&gt;Long-Term Risk of Atherosclerotic Cardiovascular Disease in US Adults With the Familial Hypercholesterolemia Phenotype&lt;/title&gt;&lt;secondary-title&gt;Circulation&lt;/secondary-title&gt;&lt;/titles&gt;&lt;pages&gt;9-19&lt;/pages&gt;&lt;number&gt;1&lt;/number&gt;&lt;contributors&gt;&lt;authors&gt;&lt;author&gt;Perak, A. M.&lt;/author&gt;&lt;author&gt;Ning, H.&lt;/author&gt;&lt;author&gt;de Ferranti, S. D.&lt;/author&gt;&lt;author&gt;Gooding, H. C.&lt;/author&gt;&lt;author&gt;Wilkins, J. T.&lt;/author&gt;&lt;author&gt;Lloyd-Jones, D. M.&lt;/author&gt;&lt;/authors&gt;&lt;/contributors&gt;&lt;language&gt;eng&lt;/language&gt;&lt;added-date format="utc"&gt;1620658713&lt;/added-date&gt;&lt;ref-type name="Journal Article"&gt;17&lt;/ref-type&gt;&lt;rec-number&gt;141&lt;/rec-number&gt;&lt;last-updated-date format="utc"&gt;1620658713&lt;/last-updated-date&gt;&lt;accession-num&gt;27358432&lt;/accession-num&gt;&lt;electronic-resource-num&gt;10.1161/CIRCULATIONAHA.116.022335&lt;/electronic-resource-num&gt;&lt;volume&gt;134&lt;/volume&gt;&lt;/record&gt;&lt;/Cite&gt;&lt;/EndNote&gt;</w:instrText>
      </w:r>
      <w:r w:rsidRPr="00A20A17">
        <w:rPr>
          <w:rFonts w:ascii="Calibri" w:eastAsia="Calibri" w:hAnsi="Calibri" w:cs="Arial"/>
          <w:i/>
          <w:iCs/>
          <w:color w:val="44546A"/>
          <w:sz w:val="18"/>
          <w:szCs w:val="18"/>
        </w:rPr>
        <w:fldChar w:fldCharType="separate"/>
      </w:r>
      <w:r w:rsidRPr="00A20A17">
        <w:rPr>
          <w:rFonts w:ascii="Calibri" w:eastAsia="Calibri" w:hAnsi="Calibri" w:cs="Arial"/>
          <w:i/>
          <w:iCs/>
          <w:noProof/>
          <w:color w:val="44546A"/>
          <w:sz w:val="18"/>
          <w:szCs w:val="18"/>
          <w:vertAlign w:val="superscript"/>
        </w:rPr>
        <w:t>15</w:t>
      </w:r>
      <w:r w:rsidRPr="00A20A17">
        <w:rPr>
          <w:rFonts w:ascii="Calibri" w:eastAsia="Calibri" w:hAnsi="Calibri" w:cs="Arial"/>
          <w:i/>
          <w:iCs/>
          <w:color w:val="44546A"/>
          <w:sz w:val="18"/>
          <w:szCs w:val="18"/>
        </w:rPr>
        <w:fldChar w:fldCharType="end"/>
      </w:r>
    </w:p>
    <w:tbl>
      <w:tblPr>
        <w:tblStyle w:val="TableGrid2"/>
        <w:tblW w:w="0" w:type="auto"/>
        <w:tblLook w:val="04A0" w:firstRow="1" w:lastRow="0" w:firstColumn="1" w:lastColumn="0" w:noHBand="0" w:noVBand="1"/>
      </w:tblPr>
      <w:tblGrid>
        <w:gridCol w:w="1664"/>
        <w:gridCol w:w="1388"/>
        <w:gridCol w:w="1059"/>
        <w:gridCol w:w="2037"/>
        <w:gridCol w:w="1405"/>
        <w:gridCol w:w="1463"/>
      </w:tblGrid>
      <w:tr w:rsidR="00FE37DB" w:rsidRPr="00A20A17" w14:paraId="4132C14E" w14:textId="77777777" w:rsidTr="00A80B48">
        <w:trPr>
          <w:trHeight w:val="300"/>
        </w:trPr>
        <w:tc>
          <w:tcPr>
            <w:tcW w:w="0" w:type="auto"/>
            <w:noWrap/>
            <w:hideMark/>
          </w:tcPr>
          <w:p w14:paraId="6D07E0A9"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Population</w:t>
            </w:r>
          </w:p>
        </w:tc>
        <w:tc>
          <w:tcPr>
            <w:tcW w:w="0" w:type="auto"/>
            <w:noWrap/>
            <w:hideMark/>
          </w:tcPr>
          <w:p w14:paraId="6242B312"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Time, years</w:t>
            </w:r>
          </w:p>
        </w:tc>
        <w:tc>
          <w:tcPr>
            <w:tcW w:w="0" w:type="auto"/>
            <w:noWrap/>
            <w:hideMark/>
          </w:tcPr>
          <w:p w14:paraId="33DCA729"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Survival</w:t>
            </w:r>
          </w:p>
        </w:tc>
        <w:tc>
          <w:tcPr>
            <w:tcW w:w="0" w:type="auto"/>
            <w:noWrap/>
            <w:hideMark/>
          </w:tcPr>
          <w:p w14:paraId="33059FC5"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Cumulative hazard</w:t>
            </w:r>
          </w:p>
        </w:tc>
        <w:tc>
          <w:tcPr>
            <w:tcW w:w="0" w:type="auto"/>
            <w:noWrap/>
            <w:hideMark/>
          </w:tcPr>
          <w:p w14:paraId="79CF142A"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Hazard rate</w:t>
            </w:r>
          </w:p>
        </w:tc>
        <w:tc>
          <w:tcPr>
            <w:tcW w:w="0" w:type="auto"/>
            <w:noWrap/>
            <w:hideMark/>
          </w:tcPr>
          <w:p w14:paraId="18459A07"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Hazard ratio</w:t>
            </w:r>
          </w:p>
        </w:tc>
      </w:tr>
      <w:tr w:rsidR="00FE37DB" w:rsidRPr="00A20A17" w14:paraId="78061F20" w14:textId="77777777" w:rsidTr="00A80B48">
        <w:trPr>
          <w:trHeight w:val="300"/>
        </w:trPr>
        <w:tc>
          <w:tcPr>
            <w:tcW w:w="0" w:type="auto"/>
            <w:vMerge w:val="restart"/>
            <w:noWrap/>
            <w:hideMark/>
          </w:tcPr>
          <w:p w14:paraId="532EA11B"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Age = 30 years</w:t>
            </w:r>
          </w:p>
        </w:tc>
        <w:tc>
          <w:tcPr>
            <w:tcW w:w="0" w:type="auto"/>
            <w:noWrap/>
            <w:hideMark/>
          </w:tcPr>
          <w:p w14:paraId="3EE7657F"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10.20</w:t>
            </w:r>
          </w:p>
        </w:tc>
        <w:tc>
          <w:tcPr>
            <w:tcW w:w="0" w:type="auto"/>
            <w:noWrap/>
            <w:hideMark/>
          </w:tcPr>
          <w:p w14:paraId="4E2D8710"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0.99</w:t>
            </w:r>
          </w:p>
        </w:tc>
        <w:tc>
          <w:tcPr>
            <w:tcW w:w="0" w:type="auto"/>
            <w:noWrap/>
            <w:hideMark/>
          </w:tcPr>
          <w:p w14:paraId="43A3470E"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0.01</w:t>
            </w:r>
          </w:p>
        </w:tc>
        <w:tc>
          <w:tcPr>
            <w:tcW w:w="0" w:type="auto"/>
            <w:noWrap/>
            <w:hideMark/>
          </w:tcPr>
          <w:p w14:paraId="69E9C08C"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0.00</w:t>
            </w:r>
          </w:p>
        </w:tc>
        <w:tc>
          <w:tcPr>
            <w:tcW w:w="0" w:type="auto"/>
            <w:noWrap/>
            <w:hideMark/>
          </w:tcPr>
          <w:p w14:paraId="478C9A3E"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N/A</w:t>
            </w:r>
          </w:p>
        </w:tc>
      </w:tr>
      <w:tr w:rsidR="00FE37DB" w:rsidRPr="00A20A17" w14:paraId="43FFA15A" w14:textId="77777777" w:rsidTr="00A80B48">
        <w:trPr>
          <w:trHeight w:val="300"/>
        </w:trPr>
        <w:tc>
          <w:tcPr>
            <w:tcW w:w="0" w:type="auto"/>
            <w:vMerge/>
            <w:noWrap/>
            <w:hideMark/>
          </w:tcPr>
          <w:p w14:paraId="1DE51054" w14:textId="77777777" w:rsidR="00FE37DB" w:rsidRPr="00A20A17" w:rsidRDefault="00FE37DB" w:rsidP="00A80B48">
            <w:pPr>
              <w:spacing w:before="60" w:after="60" w:line="240" w:lineRule="auto"/>
              <w:rPr>
                <w:rFonts w:ascii="Calibri" w:eastAsia="Calibri" w:hAnsi="Calibri" w:cs="Calibri"/>
                <w:sz w:val="18"/>
                <w:szCs w:val="18"/>
              </w:rPr>
            </w:pPr>
          </w:p>
        </w:tc>
        <w:tc>
          <w:tcPr>
            <w:tcW w:w="0" w:type="auto"/>
            <w:noWrap/>
            <w:hideMark/>
          </w:tcPr>
          <w:p w14:paraId="77B02A2C"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20.69</w:t>
            </w:r>
          </w:p>
        </w:tc>
        <w:tc>
          <w:tcPr>
            <w:tcW w:w="0" w:type="auto"/>
            <w:noWrap/>
            <w:hideMark/>
          </w:tcPr>
          <w:p w14:paraId="3C4EDB03"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0.94</w:t>
            </w:r>
          </w:p>
        </w:tc>
        <w:tc>
          <w:tcPr>
            <w:tcW w:w="0" w:type="auto"/>
            <w:noWrap/>
            <w:hideMark/>
          </w:tcPr>
          <w:p w14:paraId="3834D3D6"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0.06</w:t>
            </w:r>
          </w:p>
        </w:tc>
        <w:tc>
          <w:tcPr>
            <w:tcW w:w="0" w:type="auto"/>
            <w:noWrap/>
            <w:hideMark/>
          </w:tcPr>
          <w:p w14:paraId="5DAF9919"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0.00</w:t>
            </w:r>
          </w:p>
        </w:tc>
        <w:tc>
          <w:tcPr>
            <w:tcW w:w="0" w:type="auto"/>
            <w:noWrap/>
            <w:hideMark/>
          </w:tcPr>
          <w:p w14:paraId="3491448D"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4.13</w:t>
            </w:r>
          </w:p>
        </w:tc>
      </w:tr>
      <w:tr w:rsidR="00FE37DB" w:rsidRPr="00A20A17" w14:paraId="44BADCCA" w14:textId="77777777" w:rsidTr="00A80B48">
        <w:trPr>
          <w:trHeight w:val="300"/>
        </w:trPr>
        <w:tc>
          <w:tcPr>
            <w:tcW w:w="0" w:type="auto"/>
            <w:vMerge/>
            <w:noWrap/>
            <w:hideMark/>
          </w:tcPr>
          <w:p w14:paraId="40DDC227" w14:textId="77777777" w:rsidR="00FE37DB" w:rsidRPr="00A20A17" w:rsidRDefault="00FE37DB" w:rsidP="00A80B48">
            <w:pPr>
              <w:spacing w:before="60" w:after="60" w:line="240" w:lineRule="auto"/>
              <w:rPr>
                <w:rFonts w:ascii="Calibri" w:eastAsia="Calibri" w:hAnsi="Calibri" w:cs="Calibri"/>
                <w:sz w:val="18"/>
                <w:szCs w:val="18"/>
              </w:rPr>
            </w:pPr>
          </w:p>
        </w:tc>
        <w:tc>
          <w:tcPr>
            <w:tcW w:w="0" w:type="auto"/>
            <w:noWrap/>
            <w:hideMark/>
          </w:tcPr>
          <w:p w14:paraId="166E1E73"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29.93</w:t>
            </w:r>
          </w:p>
        </w:tc>
        <w:tc>
          <w:tcPr>
            <w:tcW w:w="0" w:type="auto"/>
            <w:noWrap/>
            <w:hideMark/>
          </w:tcPr>
          <w:p w14:paraId="1992D1CF"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0.88</w:t>
            </w:r>
          </w:p>
        </w:tc>
        <w:tc>
          <w:tcPr>
            <w:tcW w:w="0" w:type="auto"/>
            <w:noWrap/>
            <w:hideMark/>
          </w:tcPr>
          <w:p w14:paraId="3087B63C"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0.12</w:t>
            </w:r>
          </w:p>
        </w:tc>
        <w:tc>
          <w:tcPr>
            <w:tcW w:w="0" w:type="auto"/>
            <w:noWrap/>
            <w:hideMark/>
          </w:tcPr>
          <w:p w14:paraId="6166F2F0"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0.01</w:t>
            </w:r>
          </w:p>
        </w:tc>
        <w:tc>
          <w:tcPr>
            <w:tcW w:w="0" w:type="auto"/>
            <w:noWrap/>
            <w:hideMark/>
          </w:tcPr>
          <w:p w14:paraId="4582C48B"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6.44</w:t>
            </w:r>
          </w:p>
        </w:tc>
      </w:tr>
      <w:tr w:rsidR="00FE37DB" w:rsidRPr="00A20A17" w14:paraId="6E2DECA1" w14:textId="77777777" w:rsidTr="00A80B48">
        <w:trPr>
          <w:trHeight w:val="300"/>
        </w:trPr>
        <w:tc>
          <w:tcPr>
            <w:tcW w:w="0" w:type="auto"/>
            <w:vMerge w:val="restart"/>
            <w:noWrap/>
            <w:hideMark/>
          </w:tcPr>
          <w:p w14:paraId="4FB5187C"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Age = 40 years</w:t>
            </w:r>
          </w:p>
        </w:tc>
        <w:tc>
          <w:tcPr>
            <w:tcW w:w="0" w:type="auto"/>
            <w:noWrap/>
            <w:hideMark/>
          </w:tcPr>
          <w:p w14:paraId="7179247C"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10.20</w:t>
            </w:r>
          </w:p>
        </w:tc>
        <w:tc>
          <w:tcPr>
            <w:tcW w:w="0" w:type="auto"/>
            <w:noWrap/>
            <w:hideMark/>
          </w:tcPr>
          <w:p w14:paraId="4F79A846"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0.94</w:t>
            </w:r>
          </w:p>
        </w:tc>
        <w:tc>
          <w:tcPr>
            <w:tcW w:w="0" w:type="auto"/>
            <w:noWrap/>
            <w:hideMark/>
          </w:tcPr>
          <w:p w14:paraId="09396FC2"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0.06</w:t>
            </w:r>
          </w:p>
        </w:tc>
        <w:tc>
          <w:tcPr>
            <w:tcW w:w="0" w:type="auto"/>
            <w:noWrap/>
            <w:hideMark/>
          </w:tcPr>
          <w:p w14:paraId="7B810F49"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0.00</w:t>
            </w:r>
          </w:p>
        </w:tc>
        <w:tc>
          <w:tcPr>
            <w:tcW w:w="0" w:type="auto"/>
            <w:noWrap/>
            <w:hideMark/>
          </w:tcPr>
          <w:p w14:paraId="21344AFF"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N/A</w:t>
            </w:r>
          </w:p>
        </w:tc>
      </w:tr>
      <w:tr w:rsidR="00FE37DB" w:rsidRPr="00A20A17" w14:paraId="71F598DF" w14:textId="77777777" w:rsidTr="00A80B48">
        <w:trPr>
          <w:trHeight w:val="300"/>
        </w:trPr>
        <w:tc>
          <w:tcPr>
            <w:tcW w:w="0" w:type="auto"/>
            <w:vMerge/>
            <w:noWrap/>
            <w:hideMark/>
          </w:tcPr>
          <w:p w14:paraId="72DBCE14" w14:textId="77777777" w:rsidR="00FE37DB" w:rsidRPr="00A20A17" w:rsidRDefault="00FE37DB" w:rsidP="00A80B48">
            <w:pPr>
              <w:spacing w:before="60" w:after="60" w:line="240" w:lineRule="auto"/>
              <w:rPr>
                <w:rFonts w:ascii="Calibri" w:eastAsia="Calibri" w:hAnsi="Calibri" w:cs="Calibri"/>
                <w:sz w:val="18"/>
                <w:szCs w:val="18"/>
              </w:rPr>
            </w:pPr>
          </w:p>
        </w:tc>
        <w:tc>
          <w:tcPr>
            <w:tcW w:w="0" w:type="auto"/>
            <w:noWrap/>
            <w:hideMark/>
          </w:tcPr>
          <w:p w14:paraId="757DBD30"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19.99</w:t>
            </w:r>
          </w:p>
        </w:tc>
        <w:tc>
          <w:tcPr>
            <w:tcW w:w="0" w:type="auto"/>
            <w:noWrap/>
            <w:hideMark/>
          </w:tcPr>
          <w:p w14:paraId="73CFD83D"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0.86</w:t>
            </w:r>
          </w:p>
        </w:tc>
        <w:tc>
          <w:tcPr>
            <w:tcW w:w="0" w:type="auto"/>
            <w:noWrap/>
            <w:hideMark/>
          </w:tcPr>
          <w:p w14:paraId="07A79B78"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0.15</w:t>
            </w:r>
          </w:p>
        </w:tc>
        <w:tc>
          <w:tcPr>
            <w:tcW w:w="0" w:type="auto"/>
            <w:noWrap/>
            <w:hideMark/>
          </w:tcPr>
          <w:p w14:paraId="4403EF15"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0.01</w:t>
            </w:r>
          </w:p>
        </w:tc>
        <w:tc>
          <w:tcPr>
            <w:tcW w:w="0" w:type="auto"/>
            <w:noWrap/>
            <w:hideMark/>
          </w:tcPr>
          <w:p w14:paraId="65F7E413"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1.48</w:t>
            </w:r>
          </w:p>
        </w:tc>
      </w:tr>
      <w:tr w:rsidR="00FE37DB" w:rsidRPr="00A20A17" w14:paraId="1CA7FF89" w14:textId="77777777" w:rsidTr="00A80B48">
        <w:trPr>
          <w:trHeight w:val="300"/>
        </w:trPr>
        <w:tc>
          <w:tcPr>
            <w:tcW w:w="0" w:type="auto"/>
            <w:vMerge/>
            <w:noWrap/>
            <w:hideMark/>
          </w:tcPr>
          <w:p w14:paraId="75F69965" w14:textId="77777777" w:rsidR="00FE37DB" w:rsidRPr="00A20A17" w:rsidRDefault="00FE37DB" w:rsidP="00A80B48">
            <w:pPr>
              <w:spacing w:before="60" w:after="60" w:line="240" w:lineRule="auto"/>
              <w:rPr>
                <w:rFonts w:ascii="Calibri" w:eastAsia="Calibri" w:hAnsi="Calibri" w:cs="Calibri"/>
                <w:sz w:val="18"/>
                <w:szCs w:val="18"/>
              </w:rPr>
            </w:pPr>
          </w:p>
        </w:tc>
        <w:tc>
          <w:tcPr>
            <w:tcW w:w="0" w:type="auto"/>
            <w:noWrap/>
            <w:hideMark/>
          </w:tcPr>
          <w:p w14:paraId="1067B799"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29.95</w:t>
            </w:r>
          </w:p>
        </w:tc>
        <w:tc>
          <w:tcPr>
            <w:tcW w:w="0" w:type="auto"/>
            <w:noWrap/>
            <w:hideMark/>
          </w:tcPr>
          <w:p w14:paraId="75FB1E74"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0.76</w:t>
            </w:r>
          </w:p>
        </w:tc>
        <w:tc>
          <w:tcPr>
            <w:tcW w:w="0" w:type="auto"/>
            <w:noWrap/>
            <w:hideMark/>
          </w:tcPr>
          <w:p w14:paraId="3DCC38FC"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0.27</w:t>
            </w:r>
          </w:p>
        </w:tc>
        <w:tc>
          <w:tcPr>
            <w:tcW w:w="0" w:type="auto"/>
            <w:noWrap/>
            <w:hideMark/>
          </w:tcPr>
          <w:p w14:paraId="5EB2E44D"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0.01</w:t>
            </w:r>
          </w:p>
        </w:tc>
        <w:tc>
          <w:tcPr>
            <w:tcW w:w="0" w:type="auto"/>
            <w:noWrap/>
            <w:hideMark/>
          </w:tcPr>
          <w:p w14:paraId="0FED4620"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2.00</w:t>
            </w:r>
          </w:p>
        </w:tc>
      </w:tr>
      <w:tr w:rsidR="00FE37DB" w:rsidRPr="00A20A17" w14:paraId="6492A8FD" w14:textId="77777777" w:rsidTr="00A80B48">
        <w:trPr>
          <w:trHeight w:val="300"/>
        </w:trPr>
        <w:tc>
          <w:tcPr>
            <w:tcW w:w="0" w:type="auto"/>
            <w:vMerge w:val="restart"/>
            <w:noWrap/>
            <w:hideMark/>
          </w:tcPr>
          <w:p w14:paraId="7402F04D"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Age = 50 years</w:t>
            </w:r>
          </w:p>
        </w:tc>
        <w:tc>
          <w:tcPr>
            <w:tcW w:w="0" w:type="auto"/>
            <w:noWrap/>
            <w:hideMark/>
          </w:tcPr>
          <w:p w14:paraId="2FC9A964"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9.85</w:t>
            </w:r>
          </w:p>
        </w:tc>
        <w:tc>
          <w:tcPr>
            <w:tcW w:w="0" w:type="auto"/>
            <w:noWrap/>
            <w:hideMark/>
          </w:tcPr>
          <w:p w14:paraId="66743F10"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0.94</w:t>
            </w:r>
          </w:p>
        </w:tc>
        <w:tc>
          <w:tcPr>
            <w:tcW w:w="0" w:type="auto"/>
            <w:noWrap/>
            <w:hideMark/>
          </w:tcPr>
          <w:p w14:paraId="14A42B92"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0.06</w:t>
            </w:r>
          </w:p>
        </w:tc>
        <w:tc>
          <w:tcPr>
            <w:tcW w:w="0" w:type="auto"/>
            <w:noWrap/>
            <w:hideMark/>
          </w:tcPr>
          <w:p w14:paraId="792842F2"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0.01</w:t>
            </w:r>
          </w:p>
        </w:tc>
        <w:tc>
          <w:tcPr>
            <w:tcW w:w="0" w:type="auto"/>
            <w:noWrap/>
            <w:hideMark/>
          </w:tcPr>
          <w:p w14:paraId="189D45FD"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N/A</w:t>
            </w:r>
          </w:p>
        </w:tc>
      </w:tr>
      <w:tr w:rsidR="00FE37DB" w:rsidRPr="00A20A17" w14:paraId="4DE06623" w14:textId="77777777" w:rsidTr="00A80B48">
        <w:trPr>
          <w:trHeight w:val="300"/>
        </w:trPr>
        <w:tc>
          <w:tcPr>
            <w:tcW w:w="0" w:type="auto"/>
            <w:vMerge/>
            <w:noWrap/>
            <w:hideMark/>
          </w:tcPr>
          <w:p w14:paraId="6969E6F2" w14:textId="77777777" w:rsidR="00FE37DB" w:rsidRPr="00A20A17" w:rsidRDefault="00FE37DB" w:rsidP="00A80B48">
            <w:pPr>
              <w:spacing w:before="60" w:after="60" w:line="240" w:lineRule="auto"/>
              <w:rPr>
                <w:rFonts w:ascii="Calibri" w:eastAsia="Calibri" w:hAnsi="Calibri" w:cs="Calibri"/>
                <w:sz w:val="18"/>
                <w:szCs w:val="18"/>
              </w:rPr>
            </w:pPr>
          </w:p>
        </w:tc>
        <w:tc>
          <w:tcPr>
            <w:tcW w:w="0" w:type="auto"/>
            <w:noWrap/>
            <w:hideMark/>
          </w:tcPr>
          <w:p w14:paraId="1ECDC77B"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20.63</w:t>
            </w:r>
          </w:p>
        </w:tc>
        <w:tc>
          <w:tcPr>
            <w:tcW w:w="0" w:type="auto"/>
            <w:noWrap/>
            <w:hideMark/>
          </w:tcPr>
          <w:p w14:paraId="576A6CEF"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0.86</w:t>
            </w:r>
          </w:p>
        </w:tc>
        <w:tc>
          <w:tcPr>
            <w:tcW w:w="0" w:type="auto"/>
            <w:noWrap/>
            <w:hideMark/>
          </w:tcPr>
          <w:p w14:paraId="28E1EFF5"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0.15</w:t>
            </w:r>
          </w:p>
        </w:tc>
        <w:tc>
          <w:tcPr>
            <w:tcW w:w="0" w:type="auto"/>
            <w:noWrap/>
            <w:hideMark/>
          </w:tcPr>
          <w:p w14:paraId="7EBF4964"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0.01</w:t>
            </w:r>
          </w:p>
        </w:tc>
        <w:tc>
          <w:tcPr>
            <w:tcW w:w="0" w:type="auto"/>
            <w:noWrap/>
            <w:hideMark/>
          </w:tcPr>
          <w:p w14:paraId="0B6F74CC"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1.47</w:t>
            </w:r>
          </w:p>
        </w:tc>
      </w:tr>
      <w:tr w:rsidR="00FE37DB" w:rsidRPr="00A20A17" w14:paraId="521D0E3F" w14:textId="77777777" w:rsidTr="00A80B48">
        <w:trPr>
          <w:trHeight w:val="300"/>
        </w:trPr>
        <w:tc>
          <w:tcPr>
            <w:tcW w:w="0" w:type="auto"/>
            <w:vMerge/>
            <w:noWrap/>
            <w:hideMark/>
          </w:tcPr>
          <w:p w14:paraId="34BB371D" w14:textId="77777777" w:rsidR="00FE37DB" w:rsidRPr="00A20A17" w:rsidRDefault="00FE37DB" w:rsidP="00A80B48">
            <w:pPr>
              <w:spacing w:before="60" w:after="60" w:line="240" w:lineRule="auto"/>
              <w:rPr>
                <w:rFonts w:ascii="Calibri" w:eastAsia="Calibri" w:hAnsi="Calibri" w:cs="Calibri"/>
                <w:sz w:val="18"/>
                <w:szCs w:val="18"/>
              </w:rPr>
            </w:pPr>
          </w:p>
        </w:tc>
        <w:tc>
          <w:tcPr>
            <w:tcW w:w="0" w:type="auto"/>
            <w:noWrap/>
            <w:hideMark/>
          </w:tcPr>
          <w:p w14:paraId="0D3E2AAE"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29.81</w:t>
            </w:r>
          </w:p>
        </w:tc>
        <w:tc>
          <w:tcPr>
            <w:tcW w:w="0" w:type="auto"/>
            <w:noWrap/>
            <w:hideMark/>
          </w:tcPr>
          <w:p w14:paraId="24F81234"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0.77</w:t>
            </w:r>
          </w:p>
        </w:tc>
        <w:tc>
          <w:tcPr>
            <w:tcW w:w="0" w:type="auto"/>
            <w:noWrap/>
            <w:hideMark/>
          </w:tcPr>
          <w:p w14:paraId="5BDF292F"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0.26</w:t>
            </w:r>
          </w:p>
        </w:tc>
        <w:tc>
          <w:tcPr>
            <w:tcW w:w="0" w:type="auto"/>
            <w:noWrap/>
            <w:hideMark/>
          </w:tcPr>
          <w:p w14:paraId="1B3BD72E"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0.01</w:t>
            </w:r>
          </w:p>
        </w:tc>
        <w:tc>
          <w:tcPr>
            <w:tcW w:w="0" w:type="auto"/>
            <w:noWrap/>
            <w:hideMark/>
          </w:tcPr>
          <w:p w14:paraId="61BAB0CA"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2.03</w:t>
            </w:r>
          </w:p>
        </w:tc>
      </w:tr>
      <w:tr w:rsidR="00FE37DB" w:rsidRPr="00A20A17" w14:paraId="7BB93C14" w14:textId="77777777" w:rsidTr="00A80B48">
        <w:trPr>
          <w:trHeight w:val="300"/>
        </w:trPr>
        <w:tc>
          <w:tcPr>
            <w:tcW w:w="0" w:type="auto"/>
            <w:vMerge w:val="restart"/>
            <w:noWrap/>
            <w:hideMark/>
          </w:tcPr>
          <w:p w14:paraId="3FB8710F"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Age = 60 years</w:t>
            </w:r>
          </w:p>
        </w:tc>
        <w:tc>
          <w:tcPr>
            <w:tcW w:w="0" w:type="auto"/>
            <w:noWrap/>
            <w:hideMark/>
          </w:tcPr>
          <w:p w14:paraId="21D6350D"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9.97</w:t>
            </w:r>
          </w:p>
        </w:tc>
        <w:tc>
          <w:tcPr>
            <w:tcW w:w="0" w:type="auto"/>
            <w:noWrap/>
            <w:hideMark/>
          </w:tcPr>
          <w:p w14:paraId="31BDFD14"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0.88</w:t>
            </w:r>
          </w:p>
        </w:tc>
        <w:tc>
          <w:tcPr>
            <w:tcW w:w="0" w:type="auto"/>
            <w:noWrap/>
            <w:hideMark/>
          </w:tcPr>
          <w:p w14:paraId="60A2BB6F"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0.13</w:t>
            </w:r>
          </w:p>
        </w:tc>
        <w:tc>
          <w:tcPr>
            <w:tcW w:w="0" w:type="auto"/>
            <w:noWrap/>
            <w:hideMark/>
          </w:tcPr>
          <w:p w14:paraId="5DFD82FD"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0.01</w:t>
            </w:r>
          </w:p>
        </w:tc>
        <w:tc>
          <w:tcPr>
            <w:tcW w:w="0" w:type="auto"/>
            <w:noWrap/>
            <w:hideMark/>
          </w:tcPr>
          <w:p w14:paraId="619712CD"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N/A</w:t>
            </w:r>
          </w:p>
        </w:tc>
      </w:tr>
      <w:tr w:rsidR="00FE37DB" w:rsidRPr="00A20A17" w14:paraId="6F7E2778" w14:textId="77777777" w:rsidTr="00A80B48">
        <w:trPr>
          <w:trHeight w:val="300"/>
        </w:trPr>
        <w:tc>
          <w:tcPr>
            <w:tcW w:w="0" w:type="auto"/>
            <w:vMerge/>
            <w:noWrap/>
            <w:hideMark/>
          </w:tcPr>
          <w:p w14:paraId="0C42C3E7" w14:textId="77777777" w:rsidR="00FE37DB" w:rsidRPr="00A20A17" w:rsidRDefault="00FE37DB" w:rsidP="00A80B48">
            <w:pPr>
              <w:spacing w:before="60" w:after="60" w:line="240" w:lineRule="auto"/>
              <w:rPr>
                <w:rFonts w:ascii="Calibri" w:eastAsia="Calibri" w:hAnsi="Calibri" w:cs="Calibri"/>
                <w:sz w:val="18"/>
                <w:szCs w:val="18"/>
              </w:rPr>
            </w:pPr>
          </w:p>
        </w:tc>
        <w:tc>
          <w:tcPr>
            <w:tcW w:w="0" w:type="auto"/>
            <w:noWrap/>
            <w:hideMark/>
          </w:tcPr>
          <w:p w14:paraId="78623979"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20.41</w:t>
            </w:r>
          </w:p>
        </w:tc>
        <w:tc>
          <w:tcPr>
            <w:tcW w:w="0" w:type="auto"/>
            <w:noWrap/>
            <w:hideMark/>
          </w:tcPr>
          <w:p w14:paraId="6B43DEE0"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0.71</w:t>
            </w:r>
          </w:p>
        </w:tc>
        <w:tc>
          <w:tcPr>
            <w:tcW w:w="0" w:type="auto"/>
            <w:noWrap/>
            <w:hideMark/>
          </w:tcPr>
          <w:p w14:paraId="25CA2466"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0.34</w:t>
            </w:r>
          </w:p>
        </w:tc>
        <w:tc>
          <w:tcPr>
            <w:tcW w:w="0" w:type="auto"/>
            <w:noWrap/>
            <w:hideMark/>
          </w:tcPr>
          <w:p w14:paraId="56E31B9E"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0.02</w:t>
            </w:r>
          </w:p>
        </w:tc>
        <w:tc>
          <w:tcPr>
            <w:tcW w:w="0" w:type="auto"/>
            <w:noWrap/>
            <w:hideMark/>
          </w:tcPr>
          <w:p w14:paraId="61A76FF0"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1.51</w:t>
            </w:r>
          </w:p>
        </w:tc>
      </w:tr>
      <w:tr w:rsidR="00FE37DB" w:rsidRPr="00A20A17" w14:paraId="0BB85D85" w14:textId="77777777" w:rsidTr="00A80B48">
        <w:trPr>
          <w:trHeight w:val="300"/>
        </w:trPr>
        <w:tc>
          <w:tcPr>
            <w:tcW w:w="0" w:type="auto"/>
            <w:vMerge/>
            <w:noWrap/>
            <w:hideMark/>
          </w:tcPr>
          <w:p w14:paraId="55BD2C44" w14:textId="77777777" w:rsidR="00FE37DB" w:rsidRPr="00A20A17" w:rsidRDefault="00FE37DB" w:rsidP="00A80B48">
            <w:pPr>
              <w:spacing w:before="60" w:after="60" w:line="240" w:lineRule="auto"/>
              <w:rPr>
                <w:rFonts w:ascii="Calibri" w:eastAsia="Calibri" w:hAnsi="Calibri" w:cs="Calibri"/>
                <w:sz w:val="18"/>
                <w:szCs w:val="18"/>
              </w:rPr>
            </w:pPr>
          </w:p>
        </w:tc>
        <w:tc>
          <w:tcPr>
            <w:tcW w:w="0" w:type="auto"/>
            <w:noWrap/>
            <w:hideMark/>
          </w:tcPr>
          <w:p w14:paraId="55580857"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28.67</w:t>
            </w:r>
          </w:p>
        </w:tc>
        <w:tc>
          <w:tcPr>
            <w:tcW w:w="0" w:type="auto"/>
            <w:noWrap/>
            <w:hideMark/>
          </w:tcPr>
          <w:p w14:paraId="2D44D111"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0.51</w:t>
            </w:r>
          </w:p>
        </w:tc>
        <w:tc>
          <w:tcPr>
            <w:tcW w:w="0" w:type="auto"/>
            <w:noWrap/>
            <w:hideMark/>
          </w:tcPr>
          <w:p w14:paraId="44153C63"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0.68</w:t>
            </w:r>
          </w:p>
        </w:tc>
        <w:tc>
          <w:tcPr>
            <w:tcW w:w="0" w:type="auto"/>
            <w:noWrap/>
            <w:hideMark/>
          </w:tcPr>
          <w:p w14:paraId="7DBA792E"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0.04</w:t>
            </w:r>
          </w:p>
        </w:tc>
        <w:tc>
          <w:tcPr>
            <w:tcW w:w="0" w:type="auto"/>
            <w:noWrap/>
            <w:hideMark/>
          </w:tcPr>
          <w:p w14:paraId="75C7C408"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3.04</w:t>
            </w:r>
          </w:p>
        </w:tc>
      </w:tr>
      <w:tr w:rsidR="00FE37DB" w:rsidRPr="00A20A17" w14:paraId="3D5C03D6" w14:textId="77777777" w:rsidTr="00A80B48">
        <w:trPr>
          <w:trHeight w:val="300"/>
        </w:trPr>
        <w:tc>
          <w:tcPr>
            <w:tcW w:w="0" w:type="auto"/>
            <w:gridSpan w:val="6"/>
            <w:noWrap/>
          </w:tcPr>
          <w:p w14:paraId="3AE87F79"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 xml:space="preserve">Time and Survival read from curves reported in Perak et al </w:t>
            </w:r>
            <w:r w:rsidRPr="00A20A17">
              <w:rPr>
                <w:rFonts w:ascii="Calibri" w:eastAsia="Calibri" w:hAnsi="Calibri" w:cs="Calibri"/>
                <w:sz w:val="18"/>
                <w:szCs w:val="18"/>
              </w:rPr>
              <w:fldChar w:fldCharType="begin"/>
            </w:r>
            <w:r w:rsidRPr="00A20A17">
              <w:rPr>
                <w:rFonts w:ascii="Calibri" w:eastAsia="Calibri" w:hAnsi="Calibri" w:cs="Calibri"/>
                <w:sz w:val="18"/>
                <w:szCs w:val="18"/>
              </w:rPr>
              <w:instrText xml:space="preserve"> ADDIN EN.CITE &lt;EndNote&gt;&lt;Cite&gt;&lt;Author&gt;Perak&lt;/Author&gt;&lt;Year&gt;2016&lt;/Year&gt;&lt;IDText&gt;Long-Term Risk of Atherosclerotic Cardiovascular Disease in US Adults With the Familial Hypercholesterolemia Phenotype&lt;/IDText&gt;&lt;DisplayText&gt;&lt;style face="superscript"&gt;15&lt;/style&gt;&lt;/DisplayText&gt;&lt;record&gt;&lt;dates&gt;&lt;pub-dates&gt;&lt;date&gt;Jul&lt;/date&gt;&lt;/pub-dates&gt;&lt;year&gt;2016&lt;/year&gt;&lt;/dates&gt;&lt;keywords&gt;&lt;keyword&gt;Adult&lt;/keyword&gt;&lt;keyword&gt;Aged&lt;/keyword&gt;&lt;keyword&gt;Atherosclerosis&lt;/keyword&gt;&lt;keyword&gt;Cholesterol, LDL&lt;/keyword&gt;&lt;keyword&gt;Cohort Studies&lt;/keyword&gt;&lt;keyword&gt;Female&lt;/keyword&gt;&lt;keyword&gt;Genotype&lt;/keyword&gt;&lt;keyword&gt;Humans&lt;/keyword&gt;&lt;keyword&gt;Hyperlipoproteinemia Type II&lt;/keyword&gt;&lt;keyword&gt;Lipids&lt;/keyword&gt;&lt;keyword&gt;Male&lt;/keyword&gt;&lt;keyword&gt;Middle Aged&lt;/keyword&gt;&lt;keyword&gt;Phenotype&lt;/keyword&gt;&lt;keyword&gt;Prevalence&lt;/keyword&gt;&lt;keyword&gt;Proportional Hazards Models&lt;/keyword&gt;&lt;keyword&gt;Risk&lt;/keyword&gt;&lt;keyword&gt;United States&lt;/keyword&gt;&lt;keyword&gt;Young Adult&lt;/keyword&gt;&lt;keyword&gt;coronary disease&lt;/keyword&gt;&lt;keyword&gt;epidemiology&lt;/keyword&gt;&lt;keyword&gt;hypercholesterolemia&lt;/keyword&gt;&lt;/keywords&gt;&lt;urls&gt;&lt;related-urls&gt;&lt;url&gt;https://www.ncbi.nlm.nih.gov/pubmed/27358432&lt;/url&gt;&lt;/related-urls&gt;&lt;/urls&gt;&lt;isbn&gt;1524-4539&lt;/isbn&gt;&lt;custom2&gt;PMC4933328&lt;/custom2&gt;&lt;titles&gt;&lt;title&gt;Long-Term Risk of Atherosclerotic Cardiovascular Disease in US Adults With the Familial Hypercholesterolemia Phenotype&lt;/title&gt;&lt;secondary-title&gt;Circulation&lt;/secondary-title&gt;&lt;/titles&gt;&lt;pages&gt;9-19&lt;/pages&gt;&lt;number&gt;1&lt;/number&gt;&lt;contributors&gt;&lt;authors&gt;&lt;author&gt;Perak, A. M.&lt;/author&gt;&lt;author&gt;Ning, H.&lt;/author&gt;&lt;author&gt;de Ferranti, S. D.&lt;/author&gt;&lt;author&gt;Gooding, H. C.&lt;/author&gt;&lt;author&gt;Wilkins, J. T.&lt;/author&gt;&lt;author&gt;Lloyd-Jones, D. M.&lt;/author&gt;&lt;/authors&gt;&lt;/contributors&gt;&lt;language&gt;eng&lt;/language&gt;&lt;added-date format="utc"&gt;1620658713&lt;/added-date&gt;&lt;ref-type name="Journal Article"&gt;17&lt;/ref-type&gt;&lt;rec-number&gt;141&lt;/rec-number&gt;&lt;last-updated-date format="utc"&gt;1620658713&lt;/last-updated-date&gt;&lt;accession-num&gt;27358432&lt;/accession-num&gt;&lt;electronic-resource-num&gt;10.1161/CIRCULATIONAHA.116.022335&lt;/electronic-resource-num&gt;&lt;volume&gt;134&lt;/volume&gt;&lt;/record&gt;&lt;/Cite&gt;&lt;/EndNote&gt;</w:instrText>
            </w:r>
            <w:r w:rsidRPr="00A20A17">
              <w:rPr>
                <w:rFonts w:ascii="Calibri" w:eastAsia="Calibri" w:hAnsi="Calibri" w:cs="Calibri"/>
                <w:sz w:val="18"/>
                <w:szCs w:val="18"/>
              </w:rPr>
              <w:fldChar w:fldCharType="separate"/>
            </w:r>
            <w:r w:rsidRPr="00A20A17">
              <w:rPr>
                <w:rFonts w:ascii="Calibri" w:eastAsia="Calibri" w:hAnsi="Calibri" w:cs="Calibri"/>
                <w:noProof/>
                <w:sz w:val="18"/>
                <w:szCs w:val="18"/>
                <w:vertAlign w:val="superscript"/>
              </w:rPr>
              <w:t>15</w:t>
            </w:r>
            <w:r w:rsidRPr="00A20A17">
              <w:rPr>
                <w:rFonts w:ascii="Calibri" w:eastAsia="Calibri" w:hAnsi="Calibri" w:cs="Calibri"/>
                <w:sz w:val="18"/>
                <w:szCs w:val="18"/>
              </w:rPr>
              <w:fldChar w:fldCharType="end"/>
            </w:r>
            <w:r w:rsidRPr="00A20A17">
              <w:rPr>
                <w:rFonts w:ascii="Calibri" w:eastAsia="Calibri" w:hAnsi="Calibri" w:cs="Calibri"/>
                <w:sz w:val="18"/>
                <w:szCs w:val="18"/>
              </w:rPr>
              <w:t xml:space="preserve">. </w:t>
            </w:r>
          </w:p>
          <w:p w14:paraId="046F1BBA"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Cumulative hazard calculated as 1 – Survival.</w:t>
            </w:r>
          </w:p>
          <w:p w14:paraId="35876F16"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 xml:space="preserve">Hazard rate calculated as the ratio between the differences in cumulative hazards. </w:t>
            </w:r>
          </w:p>
          <w:p w14:paraId="27BD6188"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Hazard ratio calculated as the ratio between the hazard rate at approximately 20 and 30 years to the hazard rate at 10 years.</w:t>
            </w:r>
          </w:p>
          <w:p w14:paraId="27535D46"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Hazard ratio used in the model corresponds to the hazard ratio calculated in the population aged 30 years, and the average of the hazard ratios calculated from the population aged 40-60 years.</w:t>
            </w:r>
          </w:p>
          <w:p w14:paraId="442E091E"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N/A: Not applicable</w:t>
            </w:r>
          </w:p>
          <w:p w14:paraId="352090B3"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Not included in the probabilistic sensitivity analysis</w:t>
            </w:r>
          </w:p>
        </w:tc>
      </w:tr>
    </w:tbl>
    <w:p w14:paraId="0E0BF64C" w14:textId="77777777" w:rsidR="00FE37DB" w:rsidRPr="00A20A17" w:rsidRDefault="00FE37DB" w:rsidP="00FE37DB">
      <w:pPr>
        <w:spacing w:before="120" w:after="120"/>
        <w:rPr>
          <w:rFonts w:ascii="Calibri" w:eastAsia="Calibri" w:hAnsi="Calibri" w:cs="Arial"/>
        </w:rPr>
      </w:pPr>
    </w:p>
    <w:p w14:paraId="7BF47502" w14:textId="77777777" w:rsidR="00FE37DB" w:rsidRPr="00A20A17" w:rsidRDefault="00FE37DB" w:rsidP="00FE37DB">
      <w:pPr>
        <w:keepNext/>
        <w:spacing w:before="120"/>
        <w:rPr>
          <w:rFonts w:ascii="Calibri" w:eastAsia="Calibri" w:hAnsi="Calibri" w:cs="Arial"/>
          <w:i/>
          <w:iCs/>
          <w:color w:val="44546A"/>
          <w:sz w:val="18"/>
          <w:szCs w:val="18"/>
        </w:rPr>
      </w:pPr>
      <w:r w:rsidRPr="00A20A17">
        <w:rPr>
          <w:rFonts w:ascii="Calibri" w:eastAsia="Calibri" w:hAnsi="Calibri" w:cs="Arial"/>
          <w:i/>
          <w:iCs/>
          <w:color w:val="44546A"/>
          <w:sz w:val="18"/>
          <w:szCs w:val="18"/>
        </w:rPr>
        <w:t xml:space="preserve">Table </w:t>
      </w:r>
      <w:r w:rsidRPr="00A20A17">
        <w:rPr>
          <w:rFonts w:ascii="Calibri" w:eastAsia="Calibri" w:hAnsi="Calibri" w:cs="Arial"/>
          <w:i/>
          <w:iCs/>
          <w:color w:val="44546A"/>
          <w:sz w:val="18"/>
          <w:szCs w:val="18"/>
        </w:rPr>
        <w:fldChar w:fldCharType="begin"/>
      </w:r>
      <w:r w:rsidRPr="00A20A17">
        <w:rPr>
          <w:rFonts w:ascii="Calibri" w:eastAsia="Calibri" w:hAnsi="Calibri" w:cs="Arial"/>
          <w:i/>
          <w:iCs/>
          <w:color w:val="44546A"/>
          <w:sz w:val="18"/>
          <w:szCs w:val="18"/>
        </w:rPr>
        <w:instrText>SEQ Table \* ARABIC</w:instrText>
      </w:r>
      <w:r w:rsidRPr="00A20A17">
        <w:rPr>
          <w:rFonts w:ascii="Calibri" w:eastAsia="Calibri" w:hAnsi="Calibri" w:cs="Arial"/>
          <w:i/>
          <w:iCs/>
          <w:color w:val="44546A"/>
          <w:sz w:val="18"/>
          <w:szCs w:val="18"/>
        </w:rPr>
        <w:fldChar w:fldCharType="separate"/>
      </w:r>
      <w:r w:rsidRPr="00A20A17">
        <w:rPr>
          <w:rFonts w:ascii="Calibri" w:eastAsia="Calibri" w:hAnsi="Calibri" w:cs="Arial"/>
          <w:i/>
          <w:iCs/>
          <w:noProof/>
          <w:color w:val="44546A"/>
          <w:sz w:val="18"/>
          <w:szCs w:val="18"/>
        </w:rPr>
        <w:t>7</w:t>
      </w:r>
      <w:r w:rsidRPr="00A20A17">
        <w:rPr>
          <w:rFonts w:ascii="Calibri" w:eastAsia="Calibri" w:hAnsi="Calibri" w:cs="Arial"/>
          <w:i/>
          <w:iCs/>
          <w:color w:val="44546A"/>
          <w:sz w:val="18"/>
          <w:szCs w:val="18"/>
        </w:rPr>
        <w:fldChar w:fldCharType="end"/>
      </w:r>
      <w:r w:rsidRPr="00A20A17">
        <w:rPr>
          <w:rFonts w:ascii="Calibri" w:eastAsia="Calibri" w:hAnsi="Calibri" w:cs="Arial"/>
          <w:i/>
          <w:iCs/>
          <w:color w:val="44546A"/>
          <w:sz w:val="18"/>
          <w:szCs w:val="18"/>
        </w:rPr>
        <w:t>: Effect of reducing low-density lipoprotein cholesterol by 1 mmol/L on the risk of non-cardiovascular death</w:t>
      </w:r>
    </w:p>
    <w:tbl>
      <w:tblPr>
        <w:tblStyle w:val="TableGrid2"/>
        <w:tblW w:w="0" w:type="auto"/>
        <w:tblLook w:val="04A0" w:firstRow="1" w:lastRow="0" w:firstColumn="1" w:lastColumn="0" w:noHBand="0" w:noVBand="1"/>
      </w:tblPr>
      <w:tblGrid>
        <w:gridCol w:w="830"/>
        <w:gridCol w:w="2007"/>
        <w:gridCol w:w="3766"/>
        <w:gridCol w:w="2201"/>
      </w:tblGrid>
      <w:tr w:rsidR="00FE37DB" w:rsidRPr="00A20A17" w14:paraId="78CBD96D" w14:textId="77777777" w:rsidTr="00A80B48">
        <w:trPr>
          <w:trHeight w:val="300"/>
        </w:trPr>
        <w:tc>
          <w:tcPr>
            <w:tcW w:w="0" w:type="auto"/>
          </w:tcPr>
          <w:p w14:paraId="6C39BECA" w14:textId="77777777" w:rsidR="00FE37DB" w:rsidRPr="00A20A17" w:rsidRDefault="00FE37DB" w:rsidP="00A80B48">
            <w:pPr>
              <w:spacing w:before="60" w:after="60" w:line="240" w:lineRule="auto"/>
              <w:rPr>
                <w:rFonts w:ascii="Calibri" w:eastAsia="Calibri" w:hAnsi="Calibri" w:cs="Calibri"/>
                <w:b/>
                <w:bCs/>
                <w:sz w:val="18"/>
                <w:szCs w:val="18"/>
              </w:rPr>
            </w:pPr>
            <w:r w:rsidRPr="00A20A17">
              <w:rPr>
                <w:rFonts w:ascii="Calibri" w:eastAsia="Calibri" w:hAnsi="Calibri" w:cs="Calibri"/>
                <w:b/>
                <w:bCs/>
                <w:sz w:val="18"/>
                <w:szCs w:val="18"/>
              </w:rPr>
              <w:t>Average</w:t>
            </w:r>
          </w:p>
        </w:tc>
        <w:tc>
          <w:tcPr>
            <w:tcW w:w="0" w:type="auto"/>
            <w:noWrap/>
          </w:tcPr>
          <w:p w14:paraId="7E594F54" w14:textId="77777777" w:rsidR="00FE37DB" w:rsidRPr="00A20A17" w:rsidRDefault="00FE37DB" w:rsidP="00A80B48">
            <w:pPr>
              <w:spacing w:before="60" w:after="60" w:line="240" w:lineRule="auto"/>
              <w:rPr>
                <w:rFonts w:ascii="Calibri" w:eastAsia="Calibri" w:hAnsi="Calibri" w:cs="Calibri"/>
                <w:b/>
                <w:bCs/>
                <w:sz w:val="18"/>
                <w:szCs w:val="18"/>
              </w:rPr>
            </w:pPr>
            <w:r w:rsidRPr="00A20A17">
              <w:rPr>
                <w:rFonts w:ascii="Calibri" w:eastAsia="Calibri" w:hAnsi="Calibri" w:cs="Calibri"/>
                <w:b/>
                <w:bCs/>
                <w:sz w:val="18"/>
                <w:szCs w:val="18"/>
              </w:rPr>
              <w:t>95% confidence interval</w:t>
            </w:r>
          </w:p>
        </w:tc>
        <w:tc>
          <w:tcPr>
            <w:tcW w:w="0" w:type="auto"/>
          </w:tcPr>
          <w:p w14:paraId="434544C6" w14:textId="77777777" w:rsidR="00FE37DB" w:rsidRPr="00A20A17" w:rsidRDefault="00FE37DB" w:rsidP="00A80B48">
            <w:pPr>
              <w:spacing w:before="60" w:after="60" w:line="240" w:lineRule="auto"/>
              <w:rPr>
                <w:rFonts w:ascii="Calibri" w:eastAsia="Calibri" w:hAnsi="Calibri" w:cs="Calibri"/>
                <w:b/>
                <w:bCs/>
                <w:sz w:val="18"/>
                <w:szCs w:val="18"/>
              </w:rPr>
            </w:pPr>
            <w:r w:rsidRPr="00A20A17">
              <w:rPr>
                <w:rFonts w:ascii="Calibri" w:eastAsia="Calibri" w:hAnsi="Calibri" w:cs="Calibri"/>
                <w:b/>
                <w:bCs/>
                <w:sz w:val="18"/>
                <w:szCs w:val="18"/>
              </w:rPr>
              <w:t>Distribution for probabilistic sensitivity analysis</w:t>
            </w:r>
          </w:p>
        </w:tc>
        <w:tc>
          <w:tcPr>
            <w:tcW w:w="0" w:type="auto"/>
          </w:tcPr>
          <w:p w14:paraId="536C3220" w14:textId="77777777" w:rsidR="00FE37DB" w:rsidRPr="00A20A17" w:rsidRDefault="00FE37DB" w:rsidP="00A80B48">
            <w:pPr>
              <w:spacing w:before="60" w:after="60" w:line="240" w:lineRule="auto"/>
              <w:rPr>
                <w:rFonts w:ascii="Calibri" w:eastAsia="Calibri" w:hAnsi="Calibri" w:cs="Calibri"/>
                <w:b/>
                <w:bCs/>
                <w:sz w:val="18"/>
                <w:szCs w:val="18"/>
              </w:rPr>
            </w:pPr>
            <w:r w:rsidRPr="00A20A17">
              <w:rPr>
                <w:rFonts w:ascii="Calibri" w:eastAsia="Calibri" w:hAnsi="Calibri" w:cs="Calibri"/>
                <w:b/>
                <w:bCs/>
                <w:sz w:val="18"/>
                <w:szCs w:val="18"/>
              </w:rPr>
              <w:t>Source</w:t>
            </w:r>
          </w:p>
        </w:tc>
      </w:tr>
      <w:tr w:rsidR="00FE37DB" w:rsidRPr="00A20A17" w14:paraId="38B57CEF" w14:textId="77777777" w:rsidTr="00A80B48">
        <w:trPr>
          <w:trHeight w:val="300"/>
        </w:trPr>
        <w:tc>
          <w:tcPr>
            <w:tcW w:w="0" w:type="auto"/>
          </w:tcPr>
          <w:p w14:paraId="3F6128B4"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0.96</w:t>
            </w:r>
          </w:p>
        </w:tc>
        <w:tc>
          <w:tcPr>
            <w:tcW w:w="0" w:type="auto"/>
            <w:noWrap/>
          </w:tcPr>
          <w:p w14:paraId="0D634FD8"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0.92 to 1.01</w:t>
            </w:r>
          </w:p>
        </w:tc>
        <w:tc>
          <w:tcPr>
            <w:tcW w:w="0" w:type="auto"/>
          </w:tcPr>
          <w:p w14:paraId="35FACBC4"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Lognormal</w:t>
            </w:r>
          </w:p>
        </w:tc>
        <w:tc>
          <w:tcPr>
            <w:tcW w:w="0" w:type="auto"/>
          </w:tcPr>
          <w:p w14:paraId="7167DDD1"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Arial"/>
                <w:sz w:val="18"/>
                <w:szCs w:val="18"/>
              </w:rPr>
              <w:t xml:space="preserve">CTTC 2019 Webfigure 4A </w:t>
            </w:r>
            <w:r w:rsidRPr="00A20A17">
              <w:rPr>
                <w:rFonts w:ascii="Calibri" w:eastAsia="Calibri" w:hAnsi="Calibri" w:cs="Arial"/>
                <w:sz w:val="18"/>
                <w:szCs w:val="18"/>
              </w:rPr>
              <w:fldChar w:fldCharType="begin"/>
            </w:r>
            <w:r w:rsidRPr="00A20A17">
              <w:rPr>
                <w:rFonts w:ascii="Calibri" w:eastAsia="Calibri" w:hAnsi="Calibri" w:cs="Arial"/>
                <w:sz w:val="18"/>
                <w:szCs w:val="18"/>
              </w:rPr>
              <w:instrText xml:space="preserve"> ADDIN EN.CITE &lt;EndNote&gt;&lt;Cite&gt;&lt;Author&gt;Cholesterol&lt;/Author&gt;&lt;Year&gt;2019&lt;/Year&gt;&lt;IDText&gt;Efficacy and safety of statin therapy in older people: a meta-analysis of individual participant data from 28 randomised controlled trials&lt;/IDText&gt;&lt;DisplayText&gt;&lt;style face="superscript"&gt;16&lt;/style&gt;&lt;/DisplayText&gt;&lt;record&gt;&lt;dates&gt;&lt;pub-dates&gt;&lt;date&gt;02&lt;/date&gt;&lt;/pub-dates&gt;&lt;year&gt;2019&lt;/year&gt;&lt;/dates&gt;&lt;keywords&gt;&lt;keyword&gt;Age Factors&lt;/keyword&gt;&lt;keyword&gt;Aged&lt;/keyword&gt;&lt;keyword&gt;Humans&lt;/keyword&gt;&lt;keyword&gt;Hydroxymethylglutaryl-CoA Reductase Inhibitors&lt;/keyword&gt;&lt;keyword&gt;Randomized Controlled Trials as Topic&lt;/keyword&gt;&lt;/keywords&gt;&lt;urls&gt;&lt;related-urls&gt;&lt;url&gt;https://www.ncbi.nlm.nih.gov/pubmed/30712900&lt;/url&gt;&lt;/related-urls&gt;&lt;/urls&gt;&lt;isbn&gt;1474-547X&lt;/isbn&gt;&lt;custom2&gt;PMC6429627&lt;/custom2&gt;&lt;titles&gt;&lt;title&gt;Efficacy and safety of statin therapy in older people: a meta-analysis of individual participant data from 28 randomised controlled trials&lt;/title&gt;&lt;secondary-title&gt;Lancet&lt;/secondary-title&gt;&lt;/titles&gt;&lt;pages&gt;407-415&lt;/pages&gt;&lt;number&gt;10170&lt;/number&gt;&lt;contributors&gt;&lt;authors&gt;&lt;author&gt;Cholesterol Treatment Trialists&amp;apos; Collaboration&lt;/author&gt;&lt;/authors&gt;&lt;/contributors&gt;&lt;language&gt;eng&lt;/language&gt;&lt;added-date format="utc"&gt;1620903413&lt;/added-date&gt;&lt;ref-type name="Journal Article"&gt;17&lt;/ref-type&gt;&lt;rec-number&gt;149&lt;/rec-number&gt;&lt;last-updated-date format="utc"&gt;1620903413&lt;/last-updated-date&gt;&lt;accession-num&gt;30712900&lt;/accession-num&gt;&lt;electronic-resource-num&gt;10.1016/S0140-6736(18)31942-1&lt;/electronic-resource-num&gt;&lt;volume&gt;393&lt;/volume&gt;&lt;/record&gt;&lt;/Cite&gt;&lt;/EndNote&gt;</w:instrText>
            </w:r>
            <w:r w:rsidRPr="00A20A17">
              <w:rPr>
                <w:rFonts w:ascii="Calibri" w:eastAsia="Calibri" w:hAnsi="Calibri" w:cs="Arial"/>
                <w:sz w:val="18"/>
                <w:szCs w:val="18"/>
              </w:rPr>
              <w:fldChar w:fldCharType="separate"/>
            </w:r>
            <w:r w:rsidRPr="00A20A17">
              <w:rPr>
                <w:rFonts w:ascii="Calibri" w:eastAsia="Calibri" w:hAnsi="Calibri" w:cs="Arial"/>
                <w:noProof/>
                <w:sz w:val="18"/>
                <w:szCs w:val="18"/>
                <w:vertAlign w:val="superscript"/>
              </w:rPr>
              <w:t>16</w:t>
            </w:r>
            <w:r w:rsidRPr="00A20A17">
              <w:rPr>
                <w:rFonts w:ascii="Calibri" w:eastAsia="Calibri" w:hAnsi="Calibri" w:cs="Arial"/>
                <w:sz w:val="18"/>
                <w:szCs w:val="18"/>
              </w:rPr>
              <w:fldChar w:fldCharType="end"/>
            </w:r>
          </w:p>
        </w:tc>
      </w:tr>
    </w:tbl>
    <w:p w14:paraId="2586A6C8" w14:textId="77777777" w:rsidR="00FE37DB" w:rsidRPr="00A20A17" w:rsidRDefault="00FE37DB" w:rsidP="00FE37DB">
      <w:pPr>
        <w:spacing w:before="120" w:after="120"/>
        <w:rPr>
          <w:rFonts w:ascii="Calibri" w:eastAsia="Calibri" w:hAnsi="Calibri" w:cs="Arial"/>
        </w:rPr>
      </w:pPr>
    </w:p>
    <w:p w14:paraId="39B904D9" w14:textId="77777777" w:rsidR="00FE37DB" w:rsidRPr="00A20A17" w:rsidRDefault="00FE37DB" w:rsidP="00FE37DB">
      <w:pPr>
        <w:keepNext/>
        <w:keepLines/>
        <w:spacing w:before="240" w:after="120"/>
        <w:outlineLvl w:val="1"/>
        <w:rPr>
          <w:rFonts w:ascii="Calibri Light" w:eastAsia="Calibri Light" w:hAnsi="Calibri Light" w:cs="Times New Roman"/>
          <w:color w:val="2F5496"/>
          <w:sz w:val="26"/>
          <w:szCs w:val="26"/>
        </w:rPr>
      </w:pPr>
      <w:bookmarkStart w:id="8" w:name="_Toc73625974"/>
      <w:r w:rsidRPr="00A20A17">
        <w:rPr>
          <w:rFonts w:ascii="Calibri Light" w:eastAsia="Calibri Light" w:hAnsi="Calibri Light" w:cs="Times New Roman"/>
          <w:color w:val="2F5496"/>
          <w:sz w:val="26"/>
          <w:szCs w:val="26"/>
        </w:rPr>
        <w:t>Survival post-1</w:t>
      </w:r>
      <w:r w:rsidRPr="00A20A17">
        <w:rPr>
          <w:rFonts w:ascii="Calibri Light" w:eastAsia="Calibri Light" w:hAnsi="Calibri Light" w:cs="Times New Roman"/>
          <w:color w:val="2F5496"/>
          <w:sz w:val="26"/>
          <w:szCs w:val="26"/>
          <w:vertAlign w:val="superscript"/>
        </w:rPr>
        <w:t>st</w:t>
      </w:r>
      <w:r w:rsidRPr="00A20A17">
        <w:rPr>
          <w:rFonts w:ascii="Calibri Light" w:eastAsia="Calibri Light" w:hAnsi="Calibri Light" w:cs="Times New Roman"/>
          <w:color w:val="2F5496"/>
          <w:sz w:val="26"/>
          <w:szCs w:val="26"/>
        </w:rPr>
        <w:t xml:space="preserve"> major cardiovascular event</w:t>
      </w:r>
      <w:bookmarkEnd w:id="8"/>
    </w:p>
    <w:p w14:paraId="09FBC989" w14:textId="77777777" w:rsidR="00FE37DB" w:rsidRPr="00A20A17" w:rsidRDefault="00FE37DB" w:rsidP="00FE37DB">
      <w:pPr>
        <w:spacing w:before="120" w:after="120"/>
        <w:rPr>
          <w:rFonts w:ascii="Calibri" w:eastAsia="Calibri" w:hAnsi="Calibri" w:cs="Arial"/>
        </w:rPr>
      </w:pPr>
      <w:r w:rsidRPr="00A20A17">
        <w:rPr>
          <w:rFonts w:ascii="Calibri" w:eastAsia="Calibri" w:hAnsi="Calibri" w:cs="Arial"/>
        </w:rPr>
        <w:t>We compared the survival after the 1</w:t>
      </w:r>
      <w:r w:rsidRPr="00A20A17">
        <w:rPr>
          <w:rFonts w:ascii="Calibri" w:eastAsia="Calibri" w:hAnsi="Calibri" w:cs="Arial"/>
          <w:vertAlign w:val="superscript"/>
        </w:rPr>
        <w:t>st</w:t>
      </w:r>
      <w:r w:rsidRPr="00A20A17">
        <w:rPr>
          <w:rFonts w:ascii="Calibri" w:eastAsia="Calibri" w:hAnsi="Calibri" w:cs="Arial"/>
        </w:rPr>
        <w:t xml:space="preserve"> non-fatal acute coronary syndrome and after the 1</w:t>
      </w:r>
      <w:r w:rsidRPr="00A20A17">
        <w:rPr>
          <w:rFonts w:ascii="Calibri" w:eastAsia="Calibri" w:hAnsi="Calibri" w:cs="Arial"/>
          <w:vertAlign w:val="superscript"/>
        </w:rPr>
        <w:t>st</w:t>
      </w:r>
      <w:r w:rsidRPr="00A20A17">
        <w:rPr>
          <w:rFonts w:ascii="Calibri" w:eastAsia="Calibri" w:hAnsi="Calibri" w:cs="Arial"/>
        </w:rPr>
        <w:t xml:space="preserve"> non-fatal ischaemic stroke/transient ischaemic attack observed in the CPRD cohort and predicted by the Lewsey equations </w:t>
      </w:r>
      <w:r w:rsidRPr="00A20A17">
        <w:rPr>
          <w:rFonts w:ascii="Calibri" w:eastAsia="Calibri" w:hAnsi="Calibri" w:cs="Arial"/>
        </w:rPr>
        <w:fldChar w:fldCharType="begin"/>
      </w:r>
      <w:r w:rsidRPr="00A20A17">
        <w:rPr>
          <w:rFonts w:ascii="Calibri" w:eastAsia="Calibri" w:hAnsi="Calibri" w:cs="Arial"/>
        </w:rPr>
        <w:instrText xml:space="preserve"> ADDIN EN.CITE &lt;EndNote&gt;&lt;Cite&gt;&lt;Author&gt;Lewsey&lt;/Author&gt;&lt;Year&gt;2015&lt;/Year&gt;&lt;IDText&gt;A cardiovascular disease policy model that predicts life expectancy taking into account socioeconomic deprivation&lt;/IDText&gt;&lt;DisplayText&gt;&lt;style face="superscript"&gt;17&lt;/style&gt;&lt;/DisplayText&gt;&lt;record&gt;&lt;dates&gt;&lt;pub-dates&gt;&lt;date&gt;Feb&lt;/date&gt;&lt;/pub-dates&gt;&lt;year&gt;2015&lt;/year&gt;&lt;/dates&gt;&lt;keywords&gt;&lt;keyword&gt;Cardiovascular Diseases&lt;/keyword&gt;&lt;keyword&gt;Cost-Benefit Analysis&lt;/keyword&gt;&lt;keyword&gt;Female&lt;/keyword&gt;&lt;keyword&gt;Humans&lt;/keyword&gt;&lt;keyword&gt;Life Expectancy&lt;/keyword&gt;&lt;keyword&gt;Male&lt;/keyword&gt;&lt;keyword&gt;Middle Aged&lt;/keyword&gt;&lt;keyword&gt;Models, Cardiovascular&lt;/keyword&gt;&lt;keyword&gt;Morbidity&lt;/keyword&gt;&lt;keyword&gt;Primary Prevention&lt;/keyword&gt;&lt;keyword&gt;Risk Factors&lt;/keyword&gt;&lt;keyword&gt;Socioeconomic Factors&lt;/keyword&gt;&lt;keyword&gt;Survival Rate&lt;/keyword&gt;&lt;keyword&gt;United Kingdom&lt;/keyword&gt;&lt;keyword&gt;CORONARY ARTERY DISEASE&lt;/keyword&gt;&lt;keyword&gt;QUALITY OF CARE AND OUTCOMES&lt;/keyword&gt;&lt;/keywords&gt;&lt;urls&gt;&lt;related-urls&gt;&lt;url&gt;https://www.ncbi.nlm.nih.gov/pubmed/25324535&lt;/url&gt;&lt;/related-urls&gt;&lt;/urls&gt;&lt;isbn&gt;1468-201X&lt;/isbn&gt;&lt;custom2&gt;PMC4316925&lt;/custom2&gt;&lt;titles&gt;&lt;title&gt;A cardiovascular disease policy model that predicts life expectancy taking into account socioeconomic deprivation&lt;/title&gt;&lt;secondary-title&gt;Heart&lt;/secondary-title&gt;&lt;/titles&gt;&lt;pages&gt;201-8&lt;/pages&gt;&lt;number&gt;3&lt;/number&gt;&lt;contributors&gt;&lt;authors&gt;&lt;author&gt;Lewsey, J. D.&lt;/author&gt;&lt;author&gt;Lawson, K. D.&lt;/author&gt;&lt;author&gt;Ford, I.&lt;/author&gt;&lt;author&gt;Fox, K. A.&lt;/author&gt;&lt;author&gt;Ritchie, L. D.&lt;/author&gt;&lt;author&gt;Tunstall-Pedoe, H.&lt;/author&gt;&lt;author&gt;Watt, G. C.&lt;/author&gt;&lt;author&gt;Woodward, M.&lt;/author&gt;&lt;author&gt;Kent, S.&lt;/author&gt;&lt;author&gt;Neilson, M.&lt;/author&gt;&lt;author&gt;Briggs, A. H.&lt;/author&gt;&lt;/authors&gt;&lt;/contributors&gt;&lt;edition&gt;2014/10/16&lt;/edition&gt;&lt;language&gt;eng&lt;/language&gt;&lt;added-date format="utc"&gt;1621865848&lt;/added-date&gt;&lt;ref-type name="Journal Article"&gt;17&lt;/ref-type&gt;&lt;rec-number&gt;186&lt;/rec-number&gt;&lt;last-updated-date format="utc"&gt;1621865848&lt;/last-updated-date&gt;&lt;accession-num&gt;25324535&lt;/accession-num&gt;&lt;electronic-resource-num&gt;10.1136/heartjnl-2014-305637&lt;/electronic-resource-num&gt;&lt;volume&gt;101&lt;/volume&gt;&lt;/record&gt;&lt;/Cite&gt;&lt;/EndNote&gt;</w:instrText>
      </w:r>
      <w:r w:rsidRPr="00A20A17">
        <w:rPr>
          <w:rFonts w:ascii="Calibri" w:eastAsia="Calibri" w:hAnsi="Calibri" w:cs="Arial"/>
        </w:rPr>
        <w:fldChar w:fldCharType="separate"/>
      </w:r>
      <w:r w:rsidRPr="00A20A17">
        <w:rPr>
          <w:rFonts w:ascii="Calibri" w:eastAsia="Calibri" w:hAnsi="Calibri" w:cs="Arial"/>
          <w:noProof/>
          <w:vertAlign w:val="superscript"/>
        </w:rPr>
        <w:t>17</w:t>
      </w:r>
      <w:r w:rsidRPr="00A20A17">
        <w:rPr>
          <w:rFonts w:ascii="Calibri" w:eastAsia="Calibri" w:hAnsi="Calibri" w:cs="Arial"/>
        </w:rPr>
        <w:fldChar w:fldCharType="end"/>
      </w:r>
      <w:r w:rsidRPr="00A20A17">
        <w:rPr>
          <w:rFonts w:ascii="Calibri" w:eastAsia="Calibri" w:hAnsi="Calibri" w:cs="Arial"/>
        </w:rPr>
        <w:t xml:space="preserve"> given the average age at the event and sex of the CPRD cohort (Figures 1 and 2). We concluded that Lewsey equations overestimated survival after the 1</w:t>
      </w:r>
      <w:r w:rsidRPr="00A20A17">
        <w:rPr>
          <w:rFonts w:ascii="Calibri" w:eastAsia="Calibri" w:hAnsi="Calibri" w:cs="Arial"/>
          <w:vertAlign w:val="superscript"/>
        </w:rPr>
        <w:t>st</w:t>
      </w:r>
      <w:r w:rsidRPr="00A20A17">
        <w:rPr>
          <w:rFonts w:ascii="Calibri" w:eastAsia="Calibri" w:hAnsi="Calibri" w:cs="Arial"/>
        </w:rPr>
        <w:t xml:space="preserve"> non-fatal acute coronary syndrome but fitted well to the observed survival after the 1</w:t>
      </w:r>
      <w:r w:rsidRPr="00A20A17">
        <w:rPr>
          <w:rFonts w:ascii="Calibri" w:eastAsia="Calibri" w:hAnsi="Calibri" w:cs="Arial"/>
          <w:vertAlign w:val="superscript"/>
        </w:rPr>
        <w:t>st</w:t>
      </w:r>
      <w:r w:rsidRPr="00A20A17">
        <w:rPr>
          <w:rFonts w:ascii="Calibri" w:eastAsia="Calibri" w:hAnsi="Calibri" w:cs="Arial"/>
        </w:rPr>
        <w:t xml:space="preserve"> non-fatal ischaemic stroke/transient ischaemic attack. Therefore, we calibrated the Lewsey equations for survival after the 1st non-fatal acute coronary syndrome by applying the hazard ratio of the observed hazard rate to the Lewsey predicted hazard rate at 1.3 years, at 2.91. </w:t>
      </w:r>
    </w:p>
    <w:p w14:paraId="1B6F31F0" w14:textId="77777777" w:rsidR="00FE37DB" w:rsidRPr="00A20A17" w:rsidRDefault="00FE37DB" w:rsidP="00FE37DB">
      <w:pPr>
        <w:spacing w:before="120" w:after="120"/>
        <w:rPr>
          <w:rFonts w:ascii="Calibri" w:eastAsia="Calibri" w:hAnsi="Calibri" w:cs="Arial"/>
        </w:rPr>
      </w:pPr>
    </w:p>
    <w:p w14:paraId="13DB7B43" w14:textId="77777777" w:rsidR="00FE37DB" w:rsidRPr="00A20A17" w:rsidRDefault="00FE37DB" w:rsidP="00FE37DB">
      <w:pPr>
        <w:spacing w:before="120" w:after="120"/>
        <w:rPr>
          <w:rFonts w:ascii="Calibri" w:eastAsia="Calibri" w:hAnsi="Calibri" w:cs="Arial"/>
        </w:rPr>
      </w:pPr>
      <w:r w:rsidRPr="00A20A17">
        <w:rPr>
          <w:rFonts w:ascii="Calibri" w:eastAsia="Calibri" w:hAnsi="Calibri" w:cs="Arial"/>
          <w:noProof/>
          <w:lang w:eastAsia="en-GB"/>
        </w:rPr>
        <w:drawing>
          <wp:inline distT="0" distB="0" distL="0" distR="0" wp14:anchorId="726BB576" wp14:editId="291D753E">
            <wp:extent cx="6005195" cy="612076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05195" cy="6120765"/>
                    </a:xfrm>
                    <a:prstGeom prst="rect">
                      <a:avLst/>
                    </a:prstGeom>
                    <a:noFill/>
                  </pic:spPr>
                </pic:pic>
              </a:graphicData>
            </a:graphic>
          </wp:inline>
        </w:drawing>
      </w:r>
    </w:p>
    <w:p w14:paraId="66148038" w14:textId="77777777" w:rsidR="00FE37DB" w:rsidRPr="00A20A17" w:rsidRDefault="00FE37DB" w:rsidP="00FE37DB">
      <w:pPr>
        <w:spacing w:before="120"/>
        <w:rPr>
          <w:rFonts w:ascii="Calibri" w:eastAsia="Calibri" w:hAnsi="Calibri" w:cs="Arial"/>
          <w:i/>
          <w:iCs/>
          <w:color w:val="44546A"/>
          <w:sz w:val="18"/>
          <w:szCs w:val="18"/>
        </w:rPr>
      </w:pPr>
      <w:r w:rsidRPr="00A20A17">
        <w:rPr>
          <w:rFonts w:ascii="Calibri" w:eastAsia="Calibri" w:hAnsi="Calibri" w:cs="Arial"/>
          <w:i/>
          <w:iCs/>
          <w:color w:val="44546A"/>
          <w:sz w:val="18"/>
          <w:szCs w:val="18"/>
        </w:rPr>
        <w:t xml:space="preserve">Figure </w:t>
      </w:r>
      <w:r w:rsidRPr="00A20A17">
        <w:rPr>
          <w:rFonts w:ascii="Calibri" w:eastAsia="Calibri" w:hAnsi="Calibri" w:cs="Arial"/>
          <w:i/>
          <w:iCs/>
          <w:color w:val="44546A"/>
          <w:sz w:val="18"/>
          <w:szCs w:val="18"/>
        </w:rPr>
        <w:fldChar w:fldCharType="begin"/>
      </w:r>
      <w:r w:rsidRPr="00A20A17">
        <w:rPr>
          <w:rFonts w:ascii="Calibri" w:eastAsia="Calibri" w:hAnsi="Calibri" w:cs="Arial"/>
          <w:i/>
          <w:iCs/>
          <w:color w:val="44546A"/>
          <w:sz w:val="18"/>
          <w:szCs w:val="18"/>
        </w:rPr>
        <w:instrText>SEQ Figure \* ARABIC</w:instrText>
      </w:r>
      <w:r w:rsidRPr="00A20A17">
        <w:rPr>
          <w:rFonts w:ascii="Calibri" w:eastAsia="Calibri" w:hAnsi="Calibri" w:cs="Arial"/>
          <w:i/>
          <w:iCs/>
          <w:color w:val="44546A"/>
          <w:sz w:val="18"/>
          <w:szCs w:val="18"/>
        </w:rPr>
        <w:fldChar w:fldCharType="separate"/>
      </w:r>
      <w:r w:rsidRPr="00A20A17">
        <w:rPr>
          <w:rFonts w:ascii="Calibri" w:eastAsia="Calibri" w:hAnsi="Calibri" w:cs="Arial"/>
          <w:i/>
          <w:iCs/>
          <w:noProof/>
          <w:color w:val="44546A"/>
          <w:sz w:val="18"/>
          <w:szCs w:val="18"/>
        </w:rPr>
        <w:t>1</w:t>
      </w:r>
      <w:r w:rsidRPr="00A20A17">
        <w:rPr>
          <w:rFonts w:ascii="Calibri" w:eastAsia="Calibri" w:hAnsi="Calibri" w:cs="Arial"/>
          <w:i/>
          <w:iCs/>
          <w:color w:val="44546A"/>
          <w:sz w:val="18"/>
          <w:szCs w:val="18"/>
        </w:rPr>
        <w:fldChar w:fldCharType="end"/>
      </w:r>
      <w:r w:rsidRPr="00A20A17">
        <w:rPr>
          <w:rFonts w:ascii="Calibri" w:eastAsia="Calibri" w:hAnsi="Calibri" w:cs="Arial"/>
          <w:i/>
          <w:iCs/>
          <w:color w:val="44546A"/>
          <w:sz w:val="18"/>
          <w:szCs w:val="18"/>
        </w:rPr>
        <w:t xml:space="preserve">: Comparison of observed survival in CPRD cohort after first non-fatal acute coronary syndrome event to Lewsey et al </w:t>
      </w:r>
      <w:r w:rsidRPr="00A20A17">
        <w:rPr>
          <w:rFonts w:ascii="Calibri" w:eastAsia="Calibri" w:hAnsi="Calibri" w:cs="Arial"/>
          <w:i/>
          <w:iCs/>
          <w:color w:val="44546A"/>
          <w:sz w:val="18"/>
          <w:szCs w:val="18"/>
        </w:rPr>
        <w:fldChar w:fldCharType="begin"/>
      </w:r>
      <w:r w:rsidRPr="00A20A17">
        <w:rPr>
          <w:rFonts w:ascii="Calibri" w:eastAsia="Calibri" w:hAnsi="Calibri" w:cs="Arial"/>
          <w:i/>
          <w:iCs/>
          <w:color w:val="44546A"/>
          <w:sz w:val="18"/>
          <w:szCs w:val="18"/>
        </w:rPr>
        <w:instrText xml:space="preserve"> ADDIN EN.CITE &lt;EndNote&gt;&lt;Cite&gt;&lt;Author&gt;Lewsey&lt;/Author&gt;&lt;Year&gt;2015&lt;/Year&gt;&lt;IDText&gt;A cardiovascular disease policy model that predicts life expectancy taking into account socioeconomic deprivation&lt;/IDText&gt;&lt;DisplayText&gt;&lt;style face="superscript"&gt;17&lt;/style&gt;&lt;/DisplayText&gt;&lt;record&gt;&lt;dates&gt;&lt;pub-dates&gt;&lt;date&gt;Feb&lt;/date&gt;&lt;/pub-dates&gt;&lt;year&gt;2015&lt;/year&gt;&lt;/dates&gt;&lt;keywords&gt;&lt;keyword&gt;Cardiovascular Diseases&lt;/keyword&gt;&lt;keyword&gt;Cost-Benefit Analysis&lt;/keyword&gt;&lt;keyword&gt;Female&lt;/keyword&gt;&lt;keyword&gt;Humans&lt;/keyword&gt;&lt;keyword&gt;Life Expectancy&lt;/keyword&gt;&lt;keyword&gt;Male&lt;/keyword&gt;&lt;keyword&gt;Middle Aged&lt;/keyword&gt;&lt;keyword&gt;Models, Cardiovascular&lt;/keyword&gt;&lt;keyword&gt;Morbidity&lt;/keyword&gt;&lt;keyword&gt;Primary Prevention&lt;/keyword&gt;&lt;keyword&gt;Risk Factors&lt;/keyword&gt;&lt;keyword&gt;Socioeconomic Factors&lt;/keyword&gt;&lt;keyword&gt;Survival Rate&lt;/keyword&gt;&lt;keyword&gt;United Kingdom&lt;/keyword&gt;&lt;keyword&gt;CORONARY ARTERY DISEASE&lt;/keyword&gt;&lt;keyword&gt;QUALITY OF CARE AND OUTCOMES&lt;/keyword&gt;&lt;/keywords&gt;&lt;urls&gt;&lt;related-urls&gt;&lt;url&gt;https://www.ncbi.nlm.nih.gov/pubmed/25324535&lt;/url&gt;&lt;/related-urls&gt;&lt;/urls&gt;&lt;isbn&gt;1468-201X&lt;/isbn&gt;&lt;custom2&gt;PMC4316925&lt;/custom2&gt;&lt;titles&gt;&lt;title&gt;A cardiovascular disease policy model that predicts life expectancy taking into account socioeconomic deprivation&lt;/title&gt;&lt;secondary-title&gt;Heart&lt;/secondary-title&gt;&lt;/titles&gt;&lt;pages&gt;201-8&lt;/pages&gt;&lt;number&gt;3&lt;/number&gt;&lt;contributors&gt;&lt;authors&gt;&lt;author&gt;Lewsey, J. D.&lt;/author&gt;&lt;author&gt;Lawson, K. D.&lt;/author&gt;&lt;author&gt;Ford, I.&lt;/author&gt;&lt;author&gt;Fox, K. A.&lt;/author&gt;&lt;author&gt;Ritchie, L. D.&lt;/author&gt;&lt;author&gt;Tunstall-Pedoe, H.&lt;/author&gt;&lt;author&gt;Watt, G. C.&lt;/author&gt;&lt;author&gt;Woodward, M.&lt;/author&gt;&lt;author&gt;Kent, S.&lt;/author&gt;&lt;author&gt;Neilson, M.&lt;/author&gt;&lt;author&gt;Briggs, A. H.&lt;/author&gt;&lt;/authors&gt;&lt;/contributors&gt;&lt;edition&gt;2014/10/16&lt;/edition&gt;&lt;language&gt;eng&lt;/language&gt;&lt;added-date format="utc"&gt;1621865848&lt;/added-date&gt;&lt;ref-type name="Journal Article"&gt;17&lt;/ref-type&gt;&lt;rec-number&gt;186&lt;/rec-number&gt;&lt;last-updated-date format="utc"&gt;1621865848&lt;/last-updated-date&gt;&lt;accession-num&gt;25324535&lt;/accession-num&gt;&lt;electronic-resource-num&gt;10.1136/heartjnl-2014-305637&lt;/electronic-resource-num&gt;&lt;volume&gt;101&lt;/volume&gt;&lt;/record&gt;&lt;/Cite&gt;&lt;/EndNote&gt;</w:instrText>
      </w:r>
      <w:r w:rsidRPr="00A20A17">
        <w:rPr>
          <w:rFonts w:ascii="Calibri" w:eastAsia="Calibri" w:hAnsi="Calibri" w:cs="Arial"/>
          <w:i/>
          <w:iCs/>
          <w:color w:val="44546A"/>
          <w:sz w:val="18"/>
          <w:szCs w:val="18"/>
        </w:rPr>
        <w:fldChar w:fldCharType="separate"/>
      </w:r>
      <w:r w:rsidRPr="00A20A17">
        <w:rPr>
          <w:rFonts w:ascii="Calibri" w:eastAsia="Calibri" w:hAnsi="Calibri" w:cs="Arial"/>
          <w:i/>
          <w:iCs/>
          <w:noProof/>
          <w:color w:val="44546A"/>
          <w:sz w:val="18"/>
          <w:szCs w:val="18"/>
          <w:vertAlign w:val="superscript"/>
        </w:rPr>
        <w:t>17</w:t>
      </w:r>
      <w:r w:rsidRPr="00A20A17">
        <w:rPr>
          <w:rFonts w:ascii="Calibri" w:eastAsia="Calibri" w:hAnsi="Calibri" w:cs="Arial"/>
          <w:i/>
          <w:iCs/>
          <w:color w:val="44546A"/>
          <w:sz w:val="18"/>
          <w:szCs w:val="18"/>
        </w:rPr>
        <w:fldChar w:fldCharType="end"/>
      </w:r>
      <w:r w:rsidRPr="00A20A17">
        <w:rPr>
          <w:rFonts w:ascii="Calibri" w:eastAsia="Calibri" w:hAnsi="Calibri" w:cs="Arial"/>
          <w:i/>
          <w:iCs/>
          <w:color w:val="44546A"/>
          <w:sz w:val="18"/>
          <w:szCs w:val="18"/>
        </w:rPr>
        <w:t xml:space="preserve"> risk equations for death after first non-fatal coronary heart disease given age and sex of the CPRD cohort</w:t>
      </w:r>
    </w:p>
    <w:p w14:paraId="3B87DE1A" w14:textId="77777777" w:rsidR="00FE37DB" w:rsidRPr="00A20A17" w:rsidRDefault="00FE37DB" w:rsidP="00FE37DB">
      <w:pPr>
        <w:spacing w:before="120" w:after="120"/>
        <w:rPr>
          <w:rFonts w:ascii="Calibri" w:eastAsia="Calibri" w:hAnsi="Calibri" w:cs="Arial"/>
        </w:rPr>
      </w:pPr>
    </w:p>
    <w:p w14:paraId="66606BA7" w14:textId="77777777" w:rsidR="00FE37DB" w:rsidRPr="00A20A17" w:rsidRDefault="00FE37DB" w:rsidP="00FE37DB">
      <w:pPr>
        <w:spacing w:before="120" w:after="120"/>
        <w:rPr>
          <w:rFonts w:ascii="Calibri" w:eastAsia="Calibri" w:hAnsi="Calibri" w:cs="Arial"/>
        </w:rPr>
      </w:pPr>
      <w:r w:rsidRPr="00A20A17">
        <w:rPr>
          <w:rFonts w:ascii="Calibri" w:eastAsia="Calibri" w:hAnsi="Calibri" w:cs="Arial"/>
          <w:noProof/>
          <w:lang w:eastAsia="en-GB"/>
        </w:rPr>
        <w:drawing>
          <wp:inline distT="0" distB="0" distL="0" distR="0" wp14:anchorId="6A278B49" wp14:editId="0A175F77">
            <wp:extent cx="5714768" cy="5986130"/>
            <wp:effectExtent l="0" t="0" r="63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22997" cy="5994750"/>
                    </a:xfrm>
                    <a:prstGeom prst="rect">
                      <a:avLst/>
                    </a:prstGeom>
                    <a:noFill/>
                  </pic:spPr>
                </pic:pic>
              </a:graphicData>
            </a:graphic>
          </wp:inline>
        </w:drawing>
      </w:r>
    </w:p>
    <w:p w14:paraId="1C0EC834" w14:textId="77777777" w:rsidR="00FE37DB" w:rsidRPr="00A20A17" w:rsidRDefault="00FE37DB" w:rsidP="00FE37DB">
      <w:pPr>
        <w:spacing w:before="120"/>
        <w:rPr>
          <w:rFonts w:ascii="Calibri" w:eastAsia="Calibri" w:hAnsi="Calibri" w:cs="Arial"/>
          <w:i/>
          <w:iCs/>
          <w:color w:val="44546A"/>
          <w:sz w:val="18"/>
          <w:szCs w:val="18"/>
        </w:rPr>
      </w:pPr>
      <w:r w:rsidRPr="00A20A17">
        <w:rPr>
          <w:rFonts w:ascii="Calibri" w:eastAsia="Calibri" w:hAnsi="Calibri" w:cs="Arial"/>
          <w:i/>
          <w:iCs/>
          <w:color w:val="44546A"/>
          <w:sz w:val="18"/>
          <w:szCs w:val="18"/>
        </w:rPr>
        <w:t xml:space="preserve">Figure </w:t>
      </w:r>
      <w:r w:rsidRPr="00A20A17">
        <w:rPr>
          <w:rFonts w:ascii="Calibri" w:eastAsia="Calibri" w:hAnsi="Calibri" w:cs="Arial"/>
          <w:i/>
          <w:iCs/>
          <w:color w:val="44546A"/>
          <w:sz w:val="18"/>
          <w:szCs w:val="18"/>
        </w:rPr>
        <w:fldChar w:fldCharType="begin"/>
      </w:r>
      <w:r w:rsidRPr="00A20A17">
        <w:rPr>
          <w:rFonts w:ascii="Calibri" w:eastAsia="Calibri" w:hAnsi="Calibri" w:cs="Arial"/>
          <w:i/>
          <w:iCs/>
          <w:color w:val="44546A"/>
          <w:sz w:val="18"/>
          <w:szCs w:val="18"/>
        </w:rPr>
        <w:instrText>SEQ Figure \* ARABIC</w:instrText>
      </w:r>
      <w:r w:rsidRPr="00A20A17">
        <w:rPr>
          <w:rFonts w:ascii="Calibri" w:eastAsia="Calibri" w:hAnsi="Calibri" w:cs="Arial"/>
          <w:i/>
          <w:iCs/>
          <w:color w:val="44546A"/>
          <w:sz w:val="18"/>
          <w:szCs w:val="18"/>
        </w:rPr>
        <w:fldChar w:fldCharType="separate"/>
      </w:r>
      <w:r w:rsidRPr="00A20A17">
        <w:rPr>
          <w:rFonts w:ascii="Calibri" w:eastAsia="Calibri" w:hAnsi="Calibri" w:cs="Arial"/>
          <w:i/>
          <w:iCs/>
          <w:noProof/>
          <w:color w:val="44546A"/>
          <w:sz w:val="18"/>
          <w:szCs w:val="18"/>
        </w:rPr>
        <w:t>2</w:t>
      </w:r>
      <w:r w:rsidRPr="00A20A17">
        <w:rPr>
          <w:rFonts w:ascii="Calibri" w:eastAsia="Calibri" w:hAnsi="Calibri" w:cs="Arial"/>
          <w:i/>
          <w:iCs/>
          <w:color w:val="44546A"/>
          <w:sz w:val="18"/>
          <w:szCs w:val="18"/>
        </w:rPr>
        <w:fldChar w:fldCharType="end"/>
      </w:r>
      <w:r w:rsidRPr="00A20A17">
        <w:rPr>
          <w:rFonts w:ascii="Calibri" w:eastAsia="Calibri" w:hAnsi="Calibri" w:cs="Arial"/>
          <w:i/>
          <w:iCs/>
          <w:color w:val="44546A"/>
          <w:sz w:val="18"/>
          <w:szCs w:val="18"/>
        </w:rPr>
        <w:t xml:space="preserve">: Comparison of observed survival in CPRD cohort after first non-fatal ischaemic stroke or transient ischaemic attack event to Lewsey et al </w:t>
      </w:r>
      <w:r w:rsidRPr="00A20A17">
        <w:rPr>
          <w:rFonts w:ascii="Calibri" w:eastAsia="Calibri" w:hAnsi="Calibri" w:cs="Arial"/>
          <w:i/>
          <w:iCs/>
          <w:color w:val="44546A"/>
          <w:sz w:val="18"/>
          <w:szCs w:val="18"/>
        </w:rPr>
        <w:fldChar w:fldCharType="begin"/>
      </w:r>
      <w:r w:rsidRPr="00A20A17">
        <w:rPr>
          <w:rFonts w:ascii="Calibri" w:eastAsia="Calibri" w:hAnsi="Calibri" w:cs="Arial"/>
          <w:i/>
          <w:iCs/>
          <w:color w:val="44546A"/>
          <w:sz w:val="18"/>
          <w:szCs w:val="18"/>
        </w:rPr>
        <w:instrText xml:space="preserve"> ADDIN EN.CITE &lt;EndNote&gt;&lt;Cite&gt;&lt;Author&gt;Lewsey&lt;/Author&gt;&lt;Year&gt;2015&lt;/Year&gt;&lt;IDText&gt;A cardiovascular disease policy model that predicts life expectancy taking into account socioeconomic deprivation&lt;/IDText&gt;&lt;DisplayText&gt;&lt;style face="superscript"&gt;17&lt;/style&gt;&lt;/DisplayText&gt;&lt;record&gt;&lt;dates&gt;&lt;pub-dates&gt;&lt;date&gt;Feb&lt;/date&gt;&lt;/pub-dates&gt;&lt;year&gt;2015&lt;/year&gt;&lt;/dates&gt;&lt;keywords&gt;&lt;keyword&gt;Cardiovascular Diseases&lt;/keyword&gt;&lt;keyword&gt;Cost-Benefit Analysis&lt;/keyword&gt;&lt;keyword&gt;Female&lt;/keyword&gt;&lt;keyword&gt;Humans&lt;/keyword&gt;&lt;keyword&gt;Life Expectancy&lt;/keyword&gt;&lt;keyword&gt;Male&lt;/keyword&gt;&lt;keyword&gt;Middle Aged&lt;/keyword&gt;&lt;keyword&gt;Models, Cardiovascular&lt;/keyword&gt;&lt;keyword&gt;Morbidity&lt;/keyword&gt;&lt;keyword&gt;Primary Prevention&lt;/keyword&gt;&lt;keyword&gt;Risk Factors&lt;/keyword&gt;&lt;keyword&gt;Socioeconomic Factors&lt;/keyword&gt;&lt;keyword&gt;Survival Rate&lt;/keyword&gt;&lt;keyword&gt;United Kingdom&lt;/keyword&gt;&lt;keyword&gt;CORONARY ARTERY DISEASE&lt;/keyword&gt;&lt;keyword&gt;QUALITY OF CARE AND OUTCOMES&lt;/keyword&gt;&lt;/keywords&gt;&lt;urls&gt;&lt;related-urls&gt;&lt;url&gt;https://www.ncbi.nlm.nih.gov/pubmed/25324535&lt;/url&gt;&lt;/related-urls&gt;&lt;/urls&gt;&lt;isbn&gt;1468-201X&lt;/isbn&gt;&lt;custom2&gt;PMC4316925&lt;/custom2&gt;&lt;titles&gt;&lt;title&gt;A cardiovascular disease policy model that predicts life expectancy taking into account socioeconomic deprivation&lt;/title&gt;&lt;secondary-title&gt;Heart&lt;/secondary-title&gt;&lt;/titles&gt;&lt;pages&gt;201-8&lt;/pages&gt;&lt;number&gt;3&lt;/number&gt;&lt;contributors&gt;&lt;authors&gt;&lt;author&gt;Lewsey, J. D.&lt;/author&gt;&lt;author&gt;Lawson, K. D.&lt;/author&gt;&lt;author&gt;Ford, I.&lt;/author&gt;&lt;author&gt;Fox, K. A.&lt;/author&gt;&lt;author&gt;Ritchie, L. D.&lt;/author&gt;&lt;author&gt;Tunstall-Pedoe, H.&lt;/author&gt;&lt;author&gt;Watt, G. C.&lt;/author&gt;&lt;author&gt;Woodward, M.&lt;/author&gt;&lt;author&gt;Kent, S.&lt;/author&gt;&lt;author&gt;Neilson, M.&lt;/author&gt;&lt;author&gt;Briggs, A. H.&lt;/author&gt;&lt;/authors&gt;&lt;/contributors&gt;&lt;edition&gt;2014/10/16&lt;/edition&gt;&lt;language&gt;eng&lt;/language&gt;&lt;added-date format="utc"&gt;1621865848&lt;/added-date&gt;&lt;ref-type name="Journal Article"&gt;17&lt;/ref-type&gt;&lt;rec-number&gt;186&lt;/rec-number&gt;&lt;last-updated-date format="utc"&gt;1621865848&lt;/last-updated-date&gt;&lt;accession-num&gt;25324535&lt;/accession-num&gt;&lt;electronic-resource-num&gt;10.1136/heartjnl-2014-305637&lt;/electronic-resource-num&gt;&lt;volume&gt;101&lt;/volume&gt;&lt;/record&gt;&lt;/Cite&gt;&lt;/EndNote&gt;</w:instrText>
      </w:r>
      <w:r w:rsidRPr="00A20A17">
        <w:rPr>
          <w:rFonts w:ascii="Calibri" w:eastAsia="Calibri" w:hAnsi="Calibri" w:cs="Arial"/>
          <w:i/>
          <w:iCs/>
          <w:color w:val="44546A"/>
          <w:sz w:val="18"/>
          <w:szCs w:val="18"/>
        </w:rPr>
        <w:fldChar w:fldCharType="separate"/>
      </w:r>
      <w:r w:rsidRPr="00A20A17">
        <w:rPr>
          <w:rFonts w:ascii="Calibri" w:eastAsia="Calibri" w:hAnsi="Calibri" w:cs="Arial"/>
          <w:i/>
          <w:iCs/>
          <w:noProof/>
          <w:color w:val="44546A"/>
          <w:sz w:val="18"/>
          <w:szCs w:val="18"/>
          <w:vertAlign w:val="superscript"/>
        </w:rPr>
        <w:t>17</w:t>
      </w:r>
      <w:r w:rsidRPr="00A20A17">
        <w:rPr>
          <w:rFonts w:ascii="Calibri" w:eastAsia="Calibri" w:hAnsi="Calibri" w:cs="Arial"/>
          <w:i/>
          <w:iCs/>
          <w:color w:val="44546A"/>
          <w:sz w:val="18"/>
          <w:szCs w:val="18"/>
        </w:rPr>
        <w:fldChar w:fldCharType="end"/>
      </w:r>
      <w:r w:rsidRPr="00A20A17">
        <w:rPr>
          <w:rFonts w:ascii="Calibri" w:eastAsia="Calibri" w:hAnsi="Calibri" w:cs="Arial"/>
          <w:i/>
          <w:iCs/>
          <w:color w:val="44546A"/>
          <w:sz w:val="18"/>
          <w:szCs w:val="18"/>
        </w:rPr>
        <w:t xml:space="preserve"> risk equations for death after first non-fatal cerebrovascular event given age and sex of the CPRD cohort</w:t>
      </w:r>
    </w:p>
    <w:p w14:paraId="7E2320E5" w14:textId="77777777" w:rsidR="00FE37DB" w:rsidRPr="00A20A17" w:rsidRDefault="00FE37DB" w:rsidP="00FE37DB">
      <w:pPr>
        <w:spacing w:after="120" w:line="240" w:lineRule="auto"/>
        <w:rPr>
          <w:rFonts w:ascii="Calibri" w:eastAsia="Calibri" w:hAnsi="Calibri" w:cs="Arial"/>
        </w:rPr>
      </w:pPr>
      <w:r w:rsidRPr="00A20A17">
        <w:rPr>
          <w:rFonts w:ascii="Calibri" w:eastAsia="Calibri" w:hAnsi="Calibri" w:cs="Arial"/>
        </w:rPr>
        <w:br w:type="page"/>
      </w:r>
    </w:p>
    <w:p w14:paraId="24B1DF43" w14:textId="77777777" w:rsidR="00FE37DB" w:rsidRPr="00A20A17" w:rsidRDefault="00FE37DB" w:rsidP="00FE37DB">
      <w:pPr>
        <w:spacing w:before="120" w:after="120"/>
        <w:rPr>
          <w:rFonts w:ascii="Calibri" w:eastAsia="Calibri" w:hAnsi="Calibri" w:cs="Arial"/>
        </w:rPr>
      </w:pPr>
      <w:r w:rsidRPr="00A20A17">
        <w:rPr>
          <w:rFonts w:ascii="Calibri" w:eastAsia="Calibri" w:hAnsi="Calibri" w:cs="Arial"/>
        </w:rPr>
        <w:t xml:space="preserve">To avoid having yearly tunnel states from the first non-fatal event, we assumed that the hazard rate at 10 years from the Lewsey equations </w:t>
      </w:r>
      <w:r w:rsidRPr="00A20A17">
        <w:rPr>
          <w:rFonts w:ascii="Calibri" w:eastAsia="Calibri" w:hAnsi="Calibri" w:cs="Arial"/>
        </w:rPr>
        <w:fldChar w:fldCharType="begin"/>
      </w:r>
      <w:r w:rsidRPr="00A20A17">
        <w:rPr>
          <w:rFonts w:ascii="Calibri" w:eastAsia="Calibri" w:hAnsi="Calibri" w:cs="Arial"/>
        </w:rPr>
        <w:instrText xml:space="preserve"> ADDIN EN.CITE &lt;EndNote&gt;&lt;Cite&gt;&lt;Author&gt;Lewsey&lt;/Author&gt;&lt;Year&gt;2015&lt;/Year&gt;&lt;IDText&gt;A cardiovascular disease policy model that predicts life expectancy taking into account socioeconomic deprivation&lt;/IDText&gt;&lt;DisplayText&gt;&lt;style face="superscript"&gt;17&lt;/style&gt;&lt;/DisplayText&gt;&lt;record&gt;&lt;dates&gt;&lt;pub-dates&gt;&lt;date&gt;Feb&lt;/date&gt;&lt;/pub-dates&gt;&lt;year&gt;2015&lt;/year&gt;&lt;/dates&gt;&lt;keywords&gt;&lt;keyword&gt;Cardiovascular Diseases&lt;/keyword&gt;&lt;keyword&gt;Cost-Benefit Analysis&lt;/keyword&gt;&lt;keyword&gt;Female&lt;/keyword&gt;&lt;keyword&gt;Humans&lt;/keyword&gt;&lt;keyword&gt;Life Expectancy&lt;/keyword&gt;&lt;keyword&gt;Male&lt;/keyword&gt;&lt;keyword&gt;Middle Aged&lt;/keyword&gt;&lt;keyword&gt;Models, Cardiovascular&lt;/keyword&gt;&lt;keyword&gt;Morbidity&lt;/keyword&gt;&lt;keyword&gt;Primary Prevention&lt;/keyword&gt;&lt;keyword&gt;Risk Factors&lt;/keyword&gt;&lt;keyword&gt;Socioeconomic Factors&lt;/keyword&gt;&lt;keyword&gt;Survival Rate&lt;/keyword&gt;&lt;keyword&gt;United Kingdom&lt;/keyword&gt;&lt;keyword&gt;CORONARY ARTERY DISEASE&lt;/keyword&gt;&lt;keyword&gt;QUALITY OF CARE AND OUTCOMES&lt;/keyword&gt;&lt;/keywords&gt;&lt;urls&gt;&lt;related-urls&gt;&lt;url&gt;https://www.ncbi.nlm.nih.gov/pubmed/25324535&lt;/url&gt;&lt;/related-urls&gt;&lt;/urls&gt;&lt;isbn&gt;1468-201X&lt;/isbn&gt;&lt;custom2&gt;PMC4316925&lt;/custom2&gt;&lt;titles&gt;&lt;title&gt;A cardiovascular disease policy model that predicts life expectancy taking into account socioeconomic deprivation&lt;/title&gt;&lt;secondary-title&gt;Heart&lt;/secondary-title&gt;&lt;/titles&gt;&lt;pages&gt;201-8&lt;/pages&gt;&lt;number&gt;3&lt;/number&gt;&lt;contributors&gt;&lt;authors&gt;&lt;author&gt;Lewsey, J. D.&lt;/author&gt;&lt;author&gt;Lawson, K. D.&lt;/author&gt;&lt;author&gt;Ford, I.&lt;/author&gt;&lt;author&gt;Fox, K. A.&lt;/author&gt;&lt;author&gt;Ritchie, L. D.&lt;/author&gt;&lt;author&gt;Tunstall-Pedoe, H.&lt;/author&gt;&lt;author&gt;Watt, G. C.&lt;/author&gt;&lt;author&gt;Woodward, M.&lt;/author&gt;&lt;author&gt;Kent, S.&lt;/author&gt;&lt;author&gt;Neilson, M.&lt;/author&gt;&lt;author&gt;Briggs, A. H.&lt;/author&gt;&lt;/authors&gt;&lt;/contributors&gt;&lt;edition&gt;2014/10/16&lt;/edition&gt;&lt;language&gt;eng&lt;/language&gt;&lt;added-date format="utc"&gt;1621865848&lt;/added-date&gt;&lt;ref-type name="Journal Article"&gt;17&lt;/ref-type&gt;&lt;rec-number&gt;186&lt;/rec-number&gt;&lt;last-updated-date format="utc"&gt;1621865848&lt;/last-updated-date&gt;&lt;accession-num&gt;25324535&lt;/accession-num&gt;&lt;electronic-resource-num&gt;10.1136/heartjnl-2014-305637&lt;/electronic-resource-num&gt;&lt;volume&gt;101&lt;/volume&gt;&lt;/record&gt;&lt;/Cite&gt;&lt;/EndNote&gt;</w:instrText>
      </w:r>
      <w:r w:rsidRPr="00A20A17">
        <w:rPr>
          <w:rFonts w:ascii="Calibri" w:eastAsia="Calibri" w:hAnsi="Calibri" w:cs="Arial"/>
        </w:rPr>
        <w:fldChar w:fldCharType="separate"/>
      </w:r>
      <w:r w:rsidRPr="00A20A17">
        <w:rPr>
          <w:rFonts w:ascii="Calibri" w:eastAsia="Calibri" w:hAnsi="Calibri" w:cs="Arial"/>
          <w:noProof/>
          <w:vertAlign w:val="superscript"/>
        </w:rPr>
        <w:t>17</w:t>
      </w:r>
      <w:r w:rsidRPr="00A20A17">
        <w:rPr>
          <w:rFonts w:ascii="Calibri" w:eastAsia="Calibri" w:hAnsi="Calibri" w:cs="Arial"/>
        </w:rPr>
        <w:fldChar w:fldCharType="end"/>
      </w:r>
      <w:r w:rsidRPr="00A20A17">
        <w:rPr>
          <w:rFonts w:ascii="Calibri" w:eastAsia="Calibri" w:hAnsi="Calibri" w:cs="Arial"/>
        </w:rPr>
        <w:t xml:space="preserve">, calculated at 10-year age intervals for the age at which the CV event had occurred, was generalisable over the long-term. The predictions using this hazard rate compared well with the original Lewsey equations </w:t>
      </w:r>
      <w:r w:rsidRPr="00A20A17">
        <w:rPr>
          <w:rFonts w:ascii="Calibri" w:eastAsia="Calibri" w:hAnsi="Calibri" w:cs="Arial"/>
        </w:rPr>
        <w:fldChar w:fldCharType="begin"/>
      </w:r>
      <w:r w:rsidRPr="00A20A17">
        <w:rPr>
          <w:rFonts w:ascii="Calibri" w:eastAsia="Calibri" w:hAnsi="Calibri" w:cs="Arial"/>
        </w:rPr>
        <w:instrText xml:space="preserve"> ADDIN EN.CITE &lt;EndNote&gt;&lt;Cite&gt;&lt;Author&gt;Lewsey&lt;/Author&gt;&lt;Year&gt;2015&lt;/Year&gt;&lt;IDText&gt;A cardiovascular disease policy model that predicts life expectancy taking into account socioeconomic deprivation&lt;/IDText&gt;&lt;DisplayText&gt;&lt;style face="superscript"&gt;17&lt;/style&gt;&lt;/DisplayText&gt;&lt;record&gt;&lt;dates&gt;&lt;pub-dates&gt;&lt;date&gt;Feb&lt;/date&gt;&lt;/pub-dates&gt;&lt;year&gt;2015&lt;/year&gt;&lt;/dates&gt;&lt;keywords&gt;&lt;keyword&gt;Cardiovascular Diseases&lt;/keyword&gt;&lt;keyword&gt;Cost-Benefit Analysis&lt;/keyword&gt;&lt;keyword&gt;Female&lt;/keyword&gt;&lt;keyword&gt;Humans&lt;/keyword&gt;&lt;keyword&gt;Life Expectancy&lt;/keyword&gt;&lt;keyword&gt;Male&lt;/keyword&gt;&lt;keyword&gt;Middle Aged&lt;/keyword&gt;&lt;keyword&gt;Models, Cardiovascular&lt;/keyword&gt;&lt;keyword&gt;Morbidity&lt;/keyword&gt;&lt;keyword&gt;Primary Prevention&lt;/keyword&gt;&lt;keyword&gt;Risk Factors&lt;/keyword&gt;&lt;keyword&gt;Socioeconomic Factors&lt;/keyword&gt;&lt;keyword&gt;Survival Rate&lt;/keyword&gt;&lt;keyword&gt;United Kingdom&lt;/keyword&gt;&lt;keyword&gt;CORONARY ARTERY DISEASE&lt;/keyword&gt;&lt;keyword&gt;QUALITY OF CARE AND OUTCOMES&lt;/keyword&gt;&lt;/keywords&gt;&lt;urls&gt;&lt;related-urls&gt;&lt;url&gt;https://www.ncbi.nlm.nih.gov/pubmed/25324535&lt;/url&gt;&lt;/related-urls&gt;&lt;/urls&gt;&lt;isbn&gt;1468-201X&lt;/isbn&gt;&lt;custom2&gt;PMC4316925&lt;/custom2&gt;&lt;titles&gt;&lt;title&gt;A cardiovascular disease policy model that predicts life expectancy taking into account socioeconomic deprivation&lt;/title&gt;&lt;secondary-title&gt;Heart&lt;/secondary-title&gt;&lt;/titles&gt;&lt;pages&gt;201-8&lt;/pages&gt;&lt;number&gt;3&lt;/number&gt;&lt;contributors&gt;&lt;authors&gt;&lt;author&gt;Lewsey, J. D.&lt;/author&gt;&lt;author&gt;Lawson, K. D.&lt;/author&gt;&lt;author&gt;Ford, I.&lt;/author&gt;&lt;author&gt;Fox, K. A.&lt;/author&gt;&lt;author&gt;Ritchie, L. D.&lt;/author&gt;&lt;author&gt;Tunstall-Pedoe, H.&lt;/author&gt;&lt;author&gt;Watt, G. C.&lt;/author&gt;&lt;author&gt;Woodward, M.&lt;/author&gt;&lt;author&gt;Kent, S.&lt;/author&gt;&lt;author&gt;Neilson, M.&lt;/author&gt;&lt;author&gt;Briggs, A. H.&lt;/author&gt;&lt;/authors&gt;&lt;/contributors&gt;&lt;edition&gt;2014/10/16&lt;/edition&gt;&lt;language&gt;eng&lt;/language&gt;&lt;added-date format="utc"&gt;1621865848&lt;/added-date&gt;&lt;ref-type name="Journal Article"&gt;17&lt;/ref-type&gt;&lt;rec-number&gt;186&lt;/rec-number&gt;&lt;last-updated-date format="utc"&gt;1621865848&lt;/last-updated-date&gt;&lt;accession-num&gt;25324535&lt;/accession-num&gt;&lt;electronic-resource-num&gt;10.1136/heartjnl-2014-305637&lt;/electronic-resource-num&gt;&lt;volume&gt;101&lt;/volume&gt;&lt;/record&gt;&lt;/Cite&gt;&lt;/EndNote&gt;</w:instrText>
      </w:r>
      <w:r w:rsidRPr="00A20A17">
        <w:rPr>
          <w:rFonts w:ascii="Calibri" w:eastAsia="Calibri" w:hAnsi="Calibri" w:cs="Arial"/>
        </w:rPr>
        <w:fldChar w:fldCharType="separate"/>
      </w:r>
      <w:r w:rsidRPr="00A20A17">
        <w:rPr>
          <w:rFonts w:ascii="Calibri" w:eastAsia="Calibri" w:hAnsi="Calibri" w:cs="Arial"/>
          <w:noProof/>
          <w:vertAlign w:val="superscript"/>
        </w:rPr>
        <w:t>17</w:t>
      </w:r>
      <w:r w:rsidRPr="00A20A17">
        <w:rPr>
          <w:rFonts w:ascii="Calibri" w:eastAsia="Calibri" w:hAnsi="Calibri" w:cs="Arial"/>
        </w:rPr>
        <w:fldChar w:fldCharType="end"/>
      </w:r>
      <w:r w:rsidRPr="00A20A17">
        <w:rPr>
          <w:rFonts w:ascii="Calibri" w:eastAsia="Calibri" w:hAnsi="Calibri" w:cs="Arial"/>
        </w:rPr>
        <w:t xml:space="preserve"> (see Figures 3 and 4 for males; figures for females not presented but similar). </w:t>
      </w:r>
    </w:p>
    <w:p w14:paraId="56CEE0BC" w14:textId="77777777" w:rsidR="00FE37DB" w:rsidRPr="00A20A17" w:rsidRDefault="00FE37DB" w:rsidP="00FE37DB">
      <w:pPr>
        <w:spacing w:before="120" w:after="120"/>
        <w:rPr>
          <w:rFonts w:ascii="Calibri" w:eastAsia="Calibri" w:hAnsi="Calibri" w:cs="Arial"/>
        </w:rPr>
      </w:pPr>
      <w:r w:rsidRPr="00A20A17">
        <w:rPr>
          <w:rFonts w:ascii="Calibri" w:eastAsia="Calibri" w:hAnsi="Calibri" w:cs="Arial"/>
          <w:noProof/>
          <w:lang w:eastAsia="en-GB"/>
        </w:rPr>
        <w:drawing>
          <wp:inline distT="0" distB="0" distL="0" distR="0" wp14:anchorId="3DB619F1" wp14:editId="0E0E17DB">
            <wp:extent cx="5703842" cy="454342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10616" cy="4548821"/>
                    </a:xfrm>
                    <a:prstGeom prst="rect">
                      <a:avLst/>
                    </a:prstGeom>
                    <a:noFill/>
                  </pic:spPr>
                </pic:pic>
              </a:graphicData>
            </a:graphic>
          </wp:inline>
        </w:drawing>
      </w:r>
    </w:p>
    <w:p w14:paraId="59906C81" w14:textId="77777777" w:rsidR="00FE37DB" w:rsidRPr="00A20A17" w:rsidRDefault="00FE37DB" w:rsidP="00FE37DB">
      <w:pPr>
        <w:keepNext/>
        <w:spacing w:before="120"/>
        <w:rPr>
          <w:rFonts w:ascii="Calibri" w:eastAsia="Calibri" w:hAnsi="Calibri" w:cs="Arial"/>
          <w:i/>
          <w:iCs/>
          <w:color w:val="44546A"/>
          <w:sz w:val="18"/>
          <w:szCs w:val="18"/>
        </w:rPr>
      </w:pPr>
      <w:r w:rsidRPr="00A20A17">
        <w:rPr>
          <w:rFonts w:ascii="Calibri" w:eastAsia="Calibri" w:hAnsi="Calibri" w:cs="Arial"/>
          <w:i/>
          <w:iCs/>
          <w:color w:val="44546A"/>
          <w:sz w:val="18"/>
          <w:szCs w:val="18"/>
        </w:rPr>
        <w:t xml:space="preserve">Figure </w:t>
      </w:r>
      <w:r w:rsidRPr="00A20A17">
        <w:rPr>
          <w:rFonts w:ascii="Calibri" w:eastAsia="Calibri" w:hAnsi="Calibri" w:cs="Arial"/>
          <w:i/>
          <w:iCs/>
          <w:color w:val="44546A"/>
          <w:sz w:val="18"/>
          <w:szCs w:val="18"/>
        </w:rPr>
        <w:fldChar w:fldCharType="begin"/>
      </w:r>
      <w:r w:rsidRPr="00A20A17">
        <w:rPr>
          <w:rFonts w:ascii="Calibri" w:eastAsia="Calibri" w:hAnsi="Calibri" w:cs="Arial"/>
          <w:i/>
          <w:iCs/>
          <w:color w:val="44546A"/>
          <w:sz w:val="18"/>
          <w:szCs w:val="18"/>
        </w:rPr>
        <w:instrText>SEQ Figure \* ARABIC</w:instrText>
      </w:r>
      <w:r w:rsidRPr="00A20A17">
        <w:rPr>
          <w:rFonts w:ascii="Calibri" w:eastAsia="Calibri" w:hAnsi="Calibri" w:cs="Arial"/>
          <w:i/>
          <w:iCs/>
          <w:color w:val="44546A"/>
          <w:sz w:val="18"/>
          <w:szCs w:val="18"/>
        </w:rPr>
        <w:fldChar w:fldCharType="separate"/>
      </w:r>
      <w:r w:rsidRPr="00A20A17">
        <w:rPr>
          <w:rFonts w:ascii="Calibri" w:eastAsia="Calibri" w:hAnsi="Calibri" w:cs="Arial"/>
          <w:i/>
          <w:iCs/>
          <w:noProof/>
          <w:color w:val="44546A"/>
          <w:sz w:val="18"/>
          <w:szCs w:val="18"/>
        </w:rPr>
        <w:t>3</w:t>
      </w:r>
      <w:r w:rsidRPr="00A20A17">
        <w:rPr>
          <w:rFonts w:ascii="Calibri" w:eastAsia="Calibri" w:hAnsi="Calibri" w:cs="Arial"/>
          <w:i/>
          <w:iCs/>
          <w:color w:val="44546A"/>
          <w:sz w:val="18"/>
          <w:szCs w:val="18"/>
        </w:rPr>
        <w:fldChar w:fldCharType="end"/>
      </w:r>
      <w:r w:rsidRPr="00A20A17">
        <w:rPr>
          <w:rFonts w:ascii="Calibri" w:eastAsia="Calibri" w:hAnsi="Calibri" w:cs="Arial"/>
          <w:i/>
          <w:iCs/>
          <w:color w:val="44546A"/>
          <w:sz w:val="18"/>
          <w:szCs w:val="18"/>
        </w:rPr>
        <w:t xml:space="preserve">: Comparison of predictions by the Lewsey et al </w:t>
      </w:r>
      <w:r w:rsidRPr="00A20A17">
        <w:rPr>
          <w:rFonts w:ascii="Calibri" w:eastAsia="Calibri" w:hAnsi="Calibri" w:cs="Arial"/>
          <w:i/>
          <w:iCs/>
          <w:color w:val="44546A"/>
          <w:sz w:val="18"/>
          <w:szCs w:val="18"/>
        </w:rPr>
        <w:fldChar w:fldCharType="begin"/>
      </w:r>
      <w:r w:rsidRPr="00A20A17">
        <w:rPr>
          <w:rFonts w:ascii="Calibri" w:eastAsia="Calibri" w:hAnsi="Calibri" w:cs="Arial"/>
          <w:i/>
          <w:iCs/>
          <w:color w:val="44546A"/>
          <w:sz w:val="18"/>
          <w:szCs w:val="18"/>
        </w:rPr>
        <w:instrText xml:space="preserve"> ADDIN EN.CITE &lt;EndNote&gt;&lt;Cite&gt;&lt;Author&gt;Lewsey&lt;/Author&gt;&lt;Year&gt;2015&lt;/Year&gt;&lt;IDText&gt;A cardiovascular disease policy model that predicts life expectancy taking into account socioeconomic deprivation&lt;/IDText&gt;&lt;DisplayText&gt;&lt;style face="superscript"&gt;17&lt;/style&gt;&lt;/DisplayText&gt;&lt;record&gt;&lt;dates&gt;&lt;pub-dates&gt;&lt;date&gt;Feb&lt;/date&gt;&lt;/pub-dates&gt;&lt;year&gt;2015&lt;/year&gt;&lt;/dates&gt;&lt;keywords&gt;&lt;keyword&gt;Cardiovascular Diseases&lt;/keyword&gt;&lt;keyword&gt;Cost-Benefit Analysis&lt;/keyword&gt;&lt;keyword&gt;Female&lt;/keyword&gt;&lt;keyword&gt;Humans&lt;/keyword&gt;&lt;keyword&gt;Life Expectancy&lt;/keyword&gt;&lt;keyword&gt;Male&lt;/keyword&gt;&lt;keyword&gt;Middle Aged&lt;/keyword&gt;&lt;keyword&gt;Models, Cardiovascular&lt;/keyword&gt;&lt;keyword&gt;Morbidity&lt;/keyword&gt;&lt;keyword&gt;Primary Prevention&lt;/keyword&gt;&lt;keyword&gt;Risk Factors&lt;/keyword&gt;&lt;keyword&gt;Socioeconomic Factors&lt;/keyword&gt;&lt;keyword&gt;Survival Rate&lt;/keyword&gt;&lt;keyword&gt;United Kingdom&lt;/keyword&gt;&lt;keyword&gt;CORONARY ARTERY DISEASE&lt;/keyword&gt;&lt;keyword&gt;QUALITY OF CARE AND OUTCOMES&lt;/keyword&gt;&lt;/keywords&gt;&lt;urls&gt;&lt;related-urls&gt;&lt;url&gt;https://www.ncbi.nlm.nih.gov/pubmed/25324535&lt;/url&gt;&lt;/related-urls&gt;&lt;/urls&gt;&lt;isbn&gt;1468-201X&lt;/isbn&gt;&lt;custom2&gt;PMC4316925&lt;/custom2&gt;&lt;titles&gt;&lt;title&gt;A cardiovascular disease policy model that predicts life expectancy taking into account socioeconomic deprivation&lt;/title&gt;&lt;secondary-title&gt;Heart&lt;/secondary-title&gt;&lt;/titles&gt;&lt;pages&gt;201-8&lt;/pages&gt;&lt;number&gt;3&lt;/number&gt;&lt;contributors&gt;&lt;authors&gt;&lt;author&gt;Lewsey, J. D.&lt;/author&gt;&lt;author&gt;Lawson, K. D.&lt;/author&gt;&lt;author&gt;Ford, I.&lt;/author&gt;&lt;author&gt;Fox, K. A.&lt;/author&gt;&lt;author&gt;Ritchie, L. D.&lt;/author&gt;&lt;author&gt;Tunstall-Pedoe, H.&lt;/author&gt;&lt;author&gt;Watt, G. C.&lt;/author&gt;&lt;author&gt;Woodward, M.&lt;/author&gt;&lt;author&gt;Kent, S.&lt;/author&gt;&lt;author&gt;Neilson, M.&lt;/author&gt;&lt;author&gt;Briggs, A. H.&lt;/author&gt;&lt;/authors&gt;&lt;/contributors&gt;&lt;edition&gt;2014/10/16&lt;/edition&gt;&lt;language&gt;eng&lt;/language&gt;&lt;added-date format="utc"&gt;1621865848&lt;/added-date&gt;&lt;ref-type name="Journal Article"&gt;17&lt;/ref-type&gt;&lt;rec-number&gt;186&lt;/rec-number&gt;&lt;last-updated-date format="utc"&gt;1621865848&lt;/last-updated-date&gt;&lt;accession-num&gt;25324535&lt;/accession-num&gt;&lt;electronic-resource-num&gt;10.1136/heartjnl-2014-305637&lt;/electronic-resource-num&gt;&lt;volume&gt;101&lt;/volume&gt;&lt;/record&gt;&lt;/Cite&gt;&lt;/EndNote&gt;</w:instrText>
      </w:r>
      <w:r w:rsidRPr="00A20A17">
        <w:rPr>
          <w:rFonts w:ascii="Calibri" w:eastAsia="Calibri" w:hAnsi="Calibri" w:cs="Arial"/>
          <w:i/>
          <w:iCs/>
          <w:color w:val="44546A"/>
          <w:sz w:val="18"/>
          <w:szCs w:val="18"/>
        </w:rPr>
        <w:fldChar w:fldCharType="separate"/>
      </w:r>
      <w:r w:rsidRPr="00A20A17">
        <w:rPr>
          <w:rFonts w:ascii="Calibri" w:eastAsia="Calibri" w:hAnsi="Calibri" w:cs="Arial"/>
          <w:i/>
          <w:iCs/>
          <w:noProof/>
          <w:color w:val="44546A"/>
          <w:sz w:val="18"/>
          <w:szCs w:val="18"/>
          <w:vertAlign w:val="superscript"/>
        </w:rPr>
        <w:t>17</w:t>
      </w:r>
      <w:r w:rsidRPr="00A20A17">
        <w:rPr>
          <w:rFonts w:ascii="Calibri" w:eastAsia="Calibri" w:hAnsi="Calibri" w:cs="Arial"/>
          <w:i/>
          <w:iCs/>
          <w:color w:val="44546A"/>
          <w:sz w:val="18"/>
          <w:szCs w:val="18"/>
        </w:rPr>
        <w:fldChar w:fldCharType="end"/>
      </w:r>
      <w:r w:rsidRPr="00A20A17">
        <w:rPr>
          <w:rFonts w:ascii="Calibri" w:eastAsia="Calibri" w:hAnsi="Calibri" w:cs="Arial"/>
          <w:i/>
          <w:iCs/>
          <w:color w:val="44546A"/>
          <w:sz w:val="18"/>
          <w:szCs w:val="18"/>
        </w:rPr>
        <w:t xml:space="preserve"> risk equation for time from first non-fatal coronary heart disease to death to equations using inferred hazard rate at 10 and at 20 years in males adjusted for general-population mortality; all given age at the event</w:t>
      </w:r>
    </w:p>
    <w:p w14:paraId="149F7366" w14:textId="77777777" w:rsidR="00FE37DB" w:rsidRPr="00A20A17" w:rsidRDefault="00FE37DB" w:rsidP="00FE37DB">
      <w:pPr>
        <w:spacing w:before="120" w:after="120"/>
        <w:rPr>
          <w:rFonts w:ascii="Calibri" w:eastAsia="Calibri" w:hAnsi="Calibri" w:cs="Arial"/>
        </w:rPr>
      </w:pPr>
      <w:r w:rsidRPr="00A20A17">
        <w:rPr>
          <w:rFonts w:ascii="Calibri" w:eastAsia="Calibri" w:hAnsi="Calibri" w:cs="Arial"/>
        </w:rPr>
        <w:t xml:space="preserve">Legend: </w:t>
      </w:r>
    </w:p>
    <w:p w14:paraId="441ABE10" w14:textId="77777777" w:rsidR="00FE37DB" w:rsidRPr="00A20A17" w:rsidRDefault="00FE37DB" w:rsidP="00FE37DB">
      <w:pPr>
        <w:numPr>
          <w:ilvl w:val="0"/>
          <w:numId w:val="7"/>
        </w:numPr>
        <w:spacing w:before="120" w:after="120"/>
        <w:rPr>
          <w:rFonts w:ascii="Calibri" w:eastAsia="Calibri" w:hAnsi="Calibri" w:cs="Arial"/>
        </w:rPr>
      </w:pPr>
      <w:r w:rsidRPr="00A20A17">
        <w:rPr>
          <w:rFonts w:ascii="Calibri" w:eastAsia="Calibri" w:hAnsi="Calibri" w:cs="Arial"/>
        </w:rPr>
        <w:t>Lewsey Age = 40, 50, 60, 70, 80: predictions using Lewsey et al equation if individuals had the coronary heart disease event at 40, 50, 60, 70 or 80 years of age.</w:t>
      </w:r>
    </w:p>
    <w:p w14:paraId="50FA3385" w14:textId="77777777" w:rsidR="00FE37DB" w:rsidRPr="00A20A17" w:rsidRDefault="00FE37DB" w:rsidP="00FE37DB">
      <w:pPr>
        <w:numPr>
          <w:ilvl w:val="0"/>
          <w:numId w:val="7"/>
        </w:numPr>
        <w:spacing w:before="120" w:after="120"/>
        <w:rPr>
          <w:rFonts w:ascii="Calibri" w:eastAsia="Calibri" w:hAnsi="Calibri" w:cs="Arial"/>
        </w:rPr>
      </w:pPr>
      <w:r w:rsidRPr="00A20A17">
        <w:rPr>
          <w:rFonts w:ascii="Calibri" w:eastAsia="Calibri" w:hAnsi="Calibri" w:cs="Arial"/>
        </w:rPr>
        <w:t>Exp 10y GP Age 40, 50, 60, 70, 80: predictions using a constant hazard rate inferred from the Lewsey et al rate at 10 years, constrained by the age- and sex-matched general population mortality, if individuals had the coronary heart disease event at 40, 50, 60, 70 or 80 years of age.</w:t>
      </w:r>
    </w:p>
    <w:p w14:paraId="299748A3" w14:textId="77777777" w:rsidR="00FE37DB" w:rsidRPr="00A20A17" w:rsidRDefault="00FE37DB" w:rsidP="00FE37DB">
      <w:pPr>
        <w:numPr>
          <w:ilvl w:val="0"/>
          <w:numId w:val="7"/>
        </w:numPr>
        <w:spacing w:before="120" w:after="120"/>
        <w:rPr>
          <w:rFonts w:ascii="Calibri" w:eastAsia="Calibri" w:hAnsi="Calibri" w:cs="Arial"/>
        </w:rPr>
      </w:pPr>
      <w:r w:rsidRPr="00A20A17">
        <w:rPr>
          <w:rFonts w:ascii="Calibri" w:eastAsia="Calibri" w:hAnsi="Calibri" w:cs="Arial"/>
        </w:rPr>
        <w:t xml:space="preserve"> Exp 20y GP Age 40, 50, 60, 70, 80: predictions using a constant hazard rate inferred from the Lewsey et al rate at 20 years, constrained by the age- and sex-matched general population mortality, if individuals had the coronary heart disease event at 40, 50, 60, 70 or 80 years of age.</w:t>
      </w:r>
    </w:p>
    <w:p w14:paraId="2BCA6E75" w14:textId="77777777" w:rsidR="00FE37DB" w:rsidRPr="00A20A17" w:rsidRDefault="00FE37DB" w:rsidP="00FE37DB">
      <w:pPr>
        <w:keepNext/>
        <w:spacing w:before="120"/>
        <w:rPr>
          <w:rFonts w:ascii="Calibri" w:eastAsia="Calibri" w:hAnsi="Calibri" w:cs="Arial"/>
          <w:i/>
          <w:iCs/>
          <w:color w:val="44546A"/>
          <w:sz w:val="18"/>
          <w:szCs w:val="18"/>
        </w:rPr>
      </w:pPr>
      <w:r w:rsidRPr="00A20A17">
        <w:rPr>
          <w:rFonts w:ascii="Calibri" w:eastAsia="Calibri" w:hAnsi="Calibri" w:cs="Arial"/>
          <w:i/>
          <w:iCs/>
          <w:color w:val="44546A"/>
          <w:sz w:val="18"/>
          <w:szCs w:val="18"/>
        </w:rPr>
        <w:t xml:space="preserve">Figure </w:t>
      </w:r>
      <w:r w:rsidRPr="00A20A17">
        <w:rPr>
          <w:rFonts w:ascii="Calibri" w:eastAsia="Calibri" w:hAnsi="Calibri" w:cs="Arial"/>
          <w:i/>
          <w:iCs/>
          <w:color w:val="44546A"/>
          <w:sz w:val="18"/>
          <w:szCs w:val="18"/>
        </w:rPr>
        <w:fldChar w:fldCharType="begin"/>
      </w:r>
      <w:r w:rsidRPr="00A20A17">
        <w:rPr>
          <w:rFonts w:ascii="Calibri" w:eastAsia="Calibri" w:hAnsi="Calibri" w:cs="Arial"/>
          <w:i/>
          <w:iCs/>
          <w:color w:val="44546A"/>
          <w:sz w:val="18"/>
          <w:szCs w:val="18"/>
        </w:rPr>
        <w:instrText>SEQ Figure \* ARABIC</w:instrText>
      </w:r>
      <w:r w:rsidRPr="00A20A17">
        <w:rPr>
          <w:rFonts w:ascii="Calibri" w:eastAsia="Calibri" w:hAnsi="Calibri" w:cs="Arial"/>
          <w:i/>
          <w:iCs/>
          <w:color w:val="44546A"/>
          <w:sz w:val="18"/>
          <w:szCs w:val="18"/>
        </w:rPr>
        <w:fldChar w:fldCharType="separate"/>
      </w:r>
      <w:r w:rsidRPr="00A20A17">
        <w:rPr>
          <w:rFonts w:ascii="Calibri" w:eastAsia="Calibri" w:hAnsi="Calibri" w:cs="Arial"/>
          <w:i/>
          <w:iCs/>
          <w:noProof/>
          <w:color w:val="44546A"/>
          <w:sz w:val="18"/>
          <w:szCs w:val="18"/>
        </w:rPr>
        <w:t>4</w:t>
      </w:r>
      <w:r w:rsidRPr="00A20A17">
        <w:rPr>
          <w:rFonts w:ascii="Calibri" w:eastAsia="Calibri" w:hAnsi="Calibri" w:cs="Arial"/>
          <w:i/>
          <w:iCs/>
          <w:color w:val="44546A"/>
          <w:sz w:val="18"/>
          <w:szCs w:val="18"/>
        </w:rPr>
        <w:fldChar w:fldCharType="end"/>
      </w:r>
      <w:r w:rsidRPr="00A20A17">
        <w:rPr>
          <w:rFonts w:ascii="Calibri" w:eastAsia="Calibri" w:hAnsi="Calibri" w:cs="Arial"/>
          <w:i/>
          <w:iCs/>
          <w:color w:val="44546A"/>
          <w:sz w:val="18"/>
          <w:szCs w:val="18"/>
        </w:rPr>
        <w:t xml:space="preserve">: Comparison of predictions by the Lewsey et al </w:t>
      </w:r>
      <w:r w:rsidRPr="00A20A17">
        <w:rPr>
          <w:rFonts w:ascii="Calibri" w:eastAsia="Calibri" w:hAnsi="Calibri" w:cs="Arial"/>
          <w:i/>
          <w:iCs/>
          <w:color w:val="44546A"/>
          <w:sz w:val="18"/>
          <w:szCs w:val="18"/>
        </w:rPr>
        <w:fldChar w:fldCharType="begin"/>
      </w:r>
      <w:r w:rsidRPr="00A20A17">
        <w:rPr>
          <w:rFonts w:ascii="Calibri" w:eastAsia="Calibri" w:hAnsi="Calibri" w:cs="Arial"/>
          <w:i/>
          <w:iCs/>
          <w:color w:val="44546A"/>
          <w:sz w:val="18"/>
          <w:szCs w:val="18"/>
        </w:rPr>
        <w:instrText xml:space="preserve"> ADDIN EN.CITE &lt;EndNote&gt;&lt;Cite&gt;&lt;Author&gt;Lewsey&lt;/Author&gt;&lt;Year&gt;2015&lt;/Year&gt;&lt;IDText&gt;A cardiovascular disease policy model that predicts life expectancy taking into account socioeconomic deprivation&lt;/IDText&gt;&lt;DisplayText&gt;&lt;style face="superscript"&gt;17&lt;/style&gt;&lt;/DisplayText&gt;&lt;record&gt;&lt;dates&gt;&lt;pub-dates&gt;&lt;date&gt;Feb&lt;/date&gt;&lt;/pub-dates&gt;&lt;year&gt;2015&lt;/year&gt;&lt;/dates&gt;&lt;keywords&gt;&lt;keyword&gt;Cardiovascular Diseases&lt;/keyword&gt;&lt;keyword&gt;Cost-Benefit Analysis&lt;/keyword&gt;&lt;keyword&gt;Female&lt;/keyword&gt;&lt;keyword&gt;Humans&lt;/keyword&gt;&lt;keyword&gt;Life Expectancy&lt;/keyword&gt;&lt;keyword&gt;Male&lt;/keyword&gt;&lt;keyword&gt;Middle Aged&lt;/keyword&gt;&lt;keyword&gt;Models, Cardiovascular&lt;/keyword&gt;&lt;keyword&gt;Morbidity&lt;/keyword&gt;&lt;keyword&gt;Primary Prevention&lt;/keyword&gt;&lt;keyword&gt;Risk Factors&lt;/keyword&gt;&lt;keyword&gt;Socioeconomic Factors&lt;/keyword&gt;&lt;keyword&gt;Survival Rate&lt;/keyword&gt;&lt;keyword&gt;United Kingdom&lt;/keyword&gt;&lt;keyword&gt;CORONARY ARTERY DISEASE&lt;/keyword&gt;&lt;keyword&gt;QUALITY OF CARE AND OUTCOMES&lt;/keyword&gt;&lt;/keywords&gt;&lt;urls&gt;&lt;related-urls&gt;&lt;url&gt;https://www.ncbi.nlm.nih.gov/pubmed/25324535&lt;/url&gt;&lt;/related-urls&gt;&lt;/urls&gt;&lt;isbn&gt;1468-201X&lt;/isbn&gt;&lt;custom2&gt;PMC4316925&lt;/custom2&gt;&lt;titles&gt;&lt;title&gt;A cardiovascular disease policy model that predicts life expectancy taking into account socioeconomic deprivation&lt;/title&gt;&lt;secondary-title&gt;Heart&lt;/secondary-title&gt;&lt;/titles&gt;&lt;pages&gt;201-8&lt;/pages&gt;&lt;number&gt;3&lt;/number&gt;&lt;contributors&gt;&lt;authors&gt;&lt;author&gt;Lewsey, J. D.&lt;/author&gt;&lt;author&gt;Lawson, K. D.&lt;/author&gt;&lt;author&gt;Ford, I.&lt;/author&gt;&lt;author&gt;Fox, K. A.&lt;/author&gt;&lt;author&gt;Ritchie, L. D.&lt;/author&gt;&lt;author&gt;Tunstall-Pedoe, H.&lt;/author&gt;&lt;author&gt;Watt, G. C.&lt;/author&gt;&lt;author&gt;Woodward, M.&lt;/author&gt;&lt;author&gt;Kent, S.&lt;/author&gt;&lt;author&gt;Neilson, M.&lt;/author&gt;&lt;author&gt;Briggs, A. H.&lt;/author&gt;&lt;/authors&gt;&lt;/contributors&gt;&lt;edition&gt;2014/10/16&lt;/edition&gt;&lt;language&gt;eng&lt;/language&gt;&lt;added-date format="utc"&gt;1621865848&lt;/added-date&gt;&lt;ref-type name="Journal Article"&gt;17&lt;/ref-type&gt;&lt;rec-number&gt;186&lt;/rec-number&gt;&lt;last-updated-date format="utc"&gt;1621865848&lt;/last-updated-date&gt;&lt;accession-num&gt;25324535&lt;/accession-num&gt;&lt;electronic-resource-num&gt;10.1136/heartjnl-2014-305637&lt;/electronic-resource-num&gt;&lt;volume&gt;101&lt;/volume&gt;&lt;/record&gt;&lt;/Cite&gt;&lt;/EndNote&gt;</w:instrText>
      </w:r>
      <w:r w:rsidRPr="00A20A17">
        <w:rPr>
          <w:rFonts w:ascii="Calibri" w:eastAsia="Calibri" w:hAnsi="Calibri" w:cs="Arial"/>
          <w:i/>
          <w:iCs/>
          <w:color w:val="44546A"/>
          <w:sz w:val="18"/>
          <w:szCs w:val="18"/>
        </w:rPr>
        <w:fldChar w:fldCharType="separate"/>
      </w:r>
      <w:r w:rsidRPr="00A20A17">
        <w:rPr>
          <w:rFonts w:ascii="Calibri" w:eastAsia="Calibri" w:hAnsi="Calibri" w:cs="Arial"/>
          <w:i/>
          <w:iCs/>
          <w:noProof/>
          <w:color w:val="44546A"/>
          <w:sz w:val="18"/>
          <w:szCs w:val="18"/>
          <w:vertAlign w:val="superscript"/>
        </w:rPr>
        <w:t>17</w:t>
      </w:r>
      <w:r w:rsidRPr="00A20A17">
        <w:rPr>
          <w:rFonts w:ascii="Calibri" w:eastAsia="Calibri" w:hAnsi="Calibri" w:cs="Arial"/>
          <w:i/>
          <w:iCs/>
          <w:color w:val="44546A"/>
          <w:sz w:val="18"/>
          <w:szCs w:val="18"/>
        </w:rPr>
        <w:fldChar w:fldCharType="end"/>
      </w:r>
      <w:r w:rsidRPr="00A20A17">
        <w:rPr>
          <w:rFonts w:ascii="Calibri" w:eastAsia="Calibri" w:hAnsi="Calibri" w:cs="Arial"/>
          <w:i/>
          <w:iCs/>
          <w:color w:val="44546A"/>
          <w:sz w:val="18"/>
          <w:szCs w:val="18"/>
        </w:rPr>
        <w:t xml:space="preserve"> risk equation for time from first non-fatal cerebrovascular disease event to death to equations using inferred hazard rate at 10 and at 20 years in males adjusted for general-population mortality; all given age at the event</w:t>
      </w:r>
    </w:p>
    <w:p w14:paraId="0FFC3ECC" w14:textId="77777777" w:rsidR="00FE37DB" w:rsidRPr="00A20A17" w:rsidRDefault="00FE37DB" w:rsidP="00FE37DB">
      <w:pPr>
        <w:spacing w:before="120" w:after="120"/>
        <w:rPr>
          <w:rFonts w:ascii="Calibri" w:eastAsia="Calibri" w:hAnsi="Calibri" w:cs="Arial"/>
        </w:rPr>
      </w:pPr>
      <w:r w:rsidRPr="00A20A17">
        <w:rPr>
          <w:rFonts w:ascii="Calibri" w:eastAsia="Calibri" w:hAnsi="Calibri" w:cs="Arial"/>
          <w:noProof/>
          <w:lang w:eastAsia="en-GB"/>
        </w:rPr>
        <w:drawing>
          <wp:inline distT="0" distB="0" distL="0" distR="0" wp14:anchorId="4DB5F636" wp14:editId="58B364A9">
            <wp:extent cx="5504816" cy="4219575"/>
            <wp:effectExtent l="0" t="0" r="63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10627" cy="4224029"/>
                    </a:xfrm>
                    <a:prstGeom prst="rect">
                      <a:avLst/>
                    </a:prstGeom>
                    <a:noFill/>
                  </pic:spPr>
                </pic:pic>
              </a:graphicData>
            </a:graphic>
          </wp:inline>
        </w:drawing>
      </w:r>
    </w:p>
    <w:p w14:paraId="5B01C5BD" w14:textId="77777777" w:rsidR="00FE37DB" w:rsidRPr="00A20A17" w:rsidRDefault="00FE37DB" w:rsidP="00FE37DB">
      <w:pPr>
        <w:spacing w:before="120" w:after="120"/>
        <w:rPr>
          <w:rFonts w:ascii="Calibri" w:eastAsia="Calibri" w:hAnsi="Calibri" w:cs="Arial"/>
        </w:rPr>
      </w:pPr>
      <w:r w:rsidRPr="00A20A17">
        <w:rPr>
          <w:rFonts w:ascii="Calibri" w:eastAsia="Calibri" w:hAnsi="Calibri" w:cs="Arial"/>
        </w:rPr>
        <w:t xml:space="preserve">Legend: </w:t>
      </w:r>
    </w:p>
    <w:p w14:paraId="6E0BD540" w14:textId="77777777" w:rsidR="00FE37DB" w:rsidRPr="00A20A17" w:rsidRDefault="00FE37DB" w:rsidP="00FE37DB">
      <w:pPr>
        <w:numPr>
          <w:ilvl w:val="0"/>
          <w:numId w:val="7"/>
        </w:numPr>
        <w:spacing w:before="120" w:after="120"/>
        <w:rPr>
          <w:rFonts w:ascii="Calibri" w:eastAsia="Calibri" w:hAnsi="Calibri" w:cs="Arial"/>
        </w:rPr>
      </w:pPr>
      <w:r w:rsidRPr="00A20A17">
        <w:rPr>
          <w:rFonts w:ascii="Calibri" w:eastAsia="Calibri" w:hAnsi="Calibri" w:cs="Arial"/>
        </w:rPr>
        <w:t>Lewsey Age = 40, 50, 60, 70, 80: predictions using Lewsey et al equation if individuals had the cerebrovascular disease event at 40, 50, 60, 70 or 80 years of age.</w:t>
      </w:r>
    </w:p>
    <w:p w14:paraId="5700E02D" w14:textId="77777777" w:rsidR="00FE37DB" w:rsidRPr="00A20A17" w:rsidRDefault="00FE37DB" w:rsidP="00FE37DB">
      <w:pPr>
        <w:numPr>
          <w:ilvl w:val="0"/>
          <w:numId w:val="7"/>
        </w:numPr>
        <w:spacing w:before="120" w:after="120"/>
        <w:rPr>
          <w:rFonts w:ascii="Calibri" w:eastAsia="Calibri" w:hAnsi="Calibri" w:cs="Arial"/>
        </w:rPr>
      </w:pPr>
      <w:r w:rsidRPr="00A20A17">
        <w:rPr>
          <w:rFonts w:ascii="Calibri" w:eastAsia="Calibri" w:hAnsi="Calibri" w:cs="Arial"/>
        </w:rPr>
        <w:t>Exp 10y GP Age 40, 50, 60, 70, 80: predictions using a constant hazard rate inferred from the Lewsey et al rate at 10 years, constrained by the age- and sex-matched general population mortality, if individuals had the cerebrovascular disease event at 40, 50, 60, 70 or 80 years of age.</w:t>
      </w:r>
    </w:p>
    <w:p w14:paraId="57A4F5CA" w14:textId="77777777" w:rsidR="00FE37DB" w:rsidRPr="00A20A17" w:rsidRDefault="00FE37DB" w:rsidP="00FE37DB">
      <w:pPr>
        <w:numPr>
          <w:ilvl w:val="0"/>
          <w:numId w:val="7"/>
        </w:numPr>
        <w:spacing w:before="120" w:after="120"/>
        <w:rPr>
          <w:rFonts w:ascii="Calibri" w:eastAsia="Calibri" w:hAnsi="Calibri" w:cs="Arial"/>
        </w:rPr>
      </w:pPr>
      <w:r w:rsidRPr="00A20A17">
        <w:rPr>
          <w:rFonts w:ascii="Calibri" w:eastAsia="Calibri" w:hAnsi="Calibri" w:cs="Arial"/>
        </w:rPr>
        <w:t xml:space="preserve"> Exp 20y GP Age 40, 50, 60, 70, 80: predictions using a constant hazard rate inferred from the Lewsey et al rate at 20 years, constrained by the age- and sex-matched general population mortality, if individuals had the cerebrovascular disease event at 40, 50, 60, 70 or 80 years of age.</w:t>
      </w:r>
    </w:p>
    <w:p w14:paraId="6E761F3F" w14:textId="77777777" w:rsidR="00FE37DB" w:rsidRPr="00A20A17" w:rsidRDefault="00FE37DB" w:rsidP="00FE37DB">
      <w:pPr>
        <w:spacing w:before="120" w:after="120"/>
        <w:rPr>
          <w:rFonts w:ascii="Calibri" w:eastAsia="Calibri" w:hAnsi="Calibri" w:cs="Arial"/>
        </w:rPr>
      </w:pPr>
    </w:p>
    <w:p w14:paraId="44999E0F" w14:textId="77777777" w:rsidR="00FE37DB" w:rsidRPr="00A20A17" w:rsidRDefault="00FE37DB" w:rsidP="00FE37DB">
      <w:pPr>
        <w:spacing w:before="120" w:after="120"/>
        <w:rPr>
          <w:rFonts w:ascii="Calibri" w:eastAsia="Calibri" w:hAnsi="Calibri" w:cs="Arial"/>
        </w:rPr>
      </w:pPr>
    </w:p>
    <w:p w14:paraId="54518E20" w14:textId="77777777" w:rsidR="00FE37DB" w:rsidRPr="00A20A17" w:rsidRDefault="00FE37DB" w:rsidP="00FE37DB">
      <w:pPr>
        <w:spacing w:after="120" w:line="240" w:lineRule="auto"/>
        <w:rPr>
          <w:rFonts w:ascii="Calibri" w:eastAsia="Calibri" w:hAnsi="Calibri" w:cs="Arial"/>
          <w:i/>
          <w:iCs/>
          <w:color w:val="44546A"/>
          <w:sz w:val="18"/>
          <w:szCs w:val="18"/>
        </w:rPr>
      </w:pPr>
      <w:r w:rsidRPr="00A20A17">
        <w:rPr>
          <w:rFonts w:ascii="Calibri" w:eastAsia="Calibri" w:hAnsi="Calibri" w:cs="Arial"/>
        </w:rPr>
        <w:br w:type="page"/>
      </w:r>
    </w:p>
    <w:p w14:paraId="57C631F2" w14:textId="77777777" w:rsidR="00FE37DB" w:rsidRPr="00A20A17" w:rsidRDefault="00FE37DB" w:rsidP="00FE37DB">
      <w:pPr>
        <w:keepNext/>
        <w:spacing w:before="120"/>
        <w:rPr>
          <w:rFonts w:ascii="Calibri" w:eastAsia="Calibri" w:hAnsi="Calibri" w:cs="Arial"/>
          <w:i/>
          <w:iCs/>
          <w:color w:val="44546A"/>
          <w:sz w:val="18"/>
          <w:szCs w:val="18"/>
        </w:rPr>
      </w:pPr>
      <w:r w:rsidRPr="00A20A17">
        <w:rPr>
          <w:rFonts w:ascii="Calibri" w:eastAsia="Calibri" w:hAnsi="Calibri" w:cs="Arial"/>
          <w:i/>
          <w:iCs/>
          <w:color w:val="44546A"/>
          <w:sz w:val="18"/>
          <w:szCs w:val="18"/>
        </w:rPr>
        <w:t xml:space="preserve">Table </w:t>
      </w:r>
      <w:r w:rsidRPr="00A20A17">
        <w:rPr>
          <w:rFonts w:ascii="Calibri" w:eastAsia="Calibri" w:hAnsi="Calibri" w:cs="Arial"/>
          <w:i/>
          <w:iCs/>
          <w:color w:val="44546A"/>
          <w:sz w:val="18"/>
          <w:szCs w:val="18"/>
        </w:rPr>
        <w:fldChar w:fldCharType="begin"/>
      </w:r>
      <w:r w:rsidRPr="00A20A17">
        <w:rPr>
          <w:rFonts w:ascii="Calibri" w:eastAsia="Calibri" w:hAnsi="Calibri" w:cs="Arial"/>
          <w:i/>
          <w:iCs/>
          <w:color w:val="44546A"/>
          <w:sz w:val="18"/>
          <w:szCs w:val="18"/>
        </w:rPr>
        <w:instrText>SEQ Table \* ARABIC</w:instrText>
      </w:r>
      <w:r w:rsidRPr="00A20A17">
        <w:rPr>
          <w:rFonts w:ascii="Calibri" w:eastAsia="Calibri" w:hAnsi="Calibri" w:cs="Arial"/>
          <w:i/>
          <w:iCs/>
          <w:color w:val="44546A"/>
          <w:sz w:val="18"/>
          <w:szCs w:val="18"/>
        </w:rPr>
        <w:fldChar w:fldCharType="separate"/>
      </w:r>
      <w:r w:rsidRPr="00A20A17">
        <w:rPr>
          <w:rFonts w:ascii="Calibri" w:eastAsia="Calibri" w:hAnsi="Calibri" w:cs="Arial"/>
          <w:i/>
          <w:iCs/>
          <w:noProof/>
          <w:color w:val="44546A"/>
          <w:sz w:val="18"/>
          <w:szCs w:val="18"/>
        </w:rPr>
        <w:t>8</w:t>
      </w:r>
      <w:r w:rsidRPr="00A20A17">
        <w:rPr>
          <w:rFonts w:ascii="Calibri" w:eastAsia="Calibri" w:hAnsi="Calibri" w:cs="Arial"/>
          <w:i/>
          <w:iCs/>
          <w:color w:val="44546A"/>
          <w:sz w:val="18"/>
          <w:szCs w:val="18"/>
        </w:rPr>
        <w:fldChar w:fldCharType="end"/>
      </w:r>
      <w:r w:rsidRPr="00A20A17">
        <w:rPr>
          <w:rFonts w:ascii="Calibri" w:eastAsia="Calibri" w:hAnsi="Calibri" w:cs="Arial"/>
          <w:i/>
          <w:iCs/>
          <w:color w:val="44546A"/>
          <w:sz w:val="18"/>
          <w:szCs w:val="18"/>
        </w:rPr>
        <w:t>: Probability of all-cause death following the 1</w:t>
      </w:r>
      <w:r w:rsidRPr="00A20A17">
        <w:rPr>
          <w:rFonts w:ascii="Calibri" w:eastAsia="Calibri" w:hAnsi="Calibri" w:cs="Arial"/>
          <w:i/>
          <w:iCs/>
          <w:color w:val="44546A"/>
          <w:sz w:val="18"/>
          <w:szCs w:val="18"/>
          <w:vertAlign w:val="superscript"/>
        </w:rPr>
        <w:t>st</w:t>
      </w:r>
      <w:r w:rsidRPr="00A20A17">
        <w:rPr>
          <w:rFonts w:ascii="Calibri" w:eastAsia="Calibri" w:hAnsi="Calibri" w:cs="Arial"/>
          <w:i/>
          <w:iCs/>
          <w:color w:val="44546A"/>
          <w:sz w:val="18"/>
          <w:szCs w:val="18"/>
        </w:rPr>
        <w:t xml:space="preserve"> non-fatal cardiovascular event</w:t>
      </w:r>
    </w:p>
    <w:tbl>
      <w:tblPr>
        <w:tblStyle w:val="TableGrid2"/>
        <w:tblW w:w="0" w:type="auto"/>
        <w:tblLook w:val="04A0" w:firstRow="1" w:lastRow="0" w:firstColumn="1" w:lastColumn="0" w:noHBand="0" w:noVBand="1"/>
      </w:tblPr>
      <w:tblGrid>
        <w:gridCol w:w="1676"/>
        <w:gridCol w:w="1676"/>
        <w:gridCol w:w="1796"/>
        <w:gridCol w:w="1196"/>
        <w:gridCol w:w="1196"/>
        <w:gridCol w:w="1196"/>
      </w:tblGrid>
      <w:tr w:rsidR="00FE37DB" w:rsidRPr="00A20A17" w14:paraId="4745FDEF" w14:textId="77777777" w:rsidTr="00A80B48">
        <w:trPr>
          <w:trHeight w:val="300"/>
        </w:trPr>
        <w:tc>
          <w:tcPr>
            <w:tcW w:w="1676" w:type="dxa"/>
          </w:tcPr>
          <w:p w14:paraId="69770653"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Event at age</w:t>
            </w:r>
          </w:p>
        </w:tc>
        <w:tc>
          <w:tcPr>
            <w:tcW w:w="1676" w:type="dxa"/>
            <w:noWrap/>
          </w:tcPr>
          <w:p w14:paraId="163A9032"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&lt; 45 years</w:t>
            </w:r>
          </w:p>
        </w:tc>
        <w:tc>
          <w:tcPr>
            <w:tcW w:w="1796" w:type="dxa"/>
            <w:noWrap/>
          </w:tcPr>
          <w:p w14:paraId="5FBA932C"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45 – 54 years</w:t>
            </w:r>
          </w:p>
        </w:tc>
        <w:tc>
          <w:tcPr>
            <w:tcW w:w="1196" w:type="dxa"/>
            <w:noWrap/>
          </w:tcPr>
          <w:p w14:paraId="13ACE3FE"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55 – 64 years</w:t>
            </w:r>
          </w:p>
        </w:tc>
        <w:tc>
          <w:tcPr>
            <w:tcW w:w="1196" w:type="dxa"/>
            <w:noWrap/>
          </w:tcPr>
          <w:p w14:paraId="6AB3350D"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65 – 74 years</w:t>
            </w:r>
          </w:p>
        </w:tc>
        <w:tc>
          <w:tcPr>
            <w:tcW w:w="1196" w:type="dxa"/>
            <w:noWrap/>
          </w:tcPr>
          <w:p w14:paraId="7807333F"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75+ years</w:t>
            </w:r>
          </w:p>
        </w:tc>
      </w:tr>
      <w:tr w:rsidR="00FE37DB" w:rsidRPr="00A20A17" w14:paraId="198D7547" w14:textId="77777777" w:rsidTr="00A80B48">
        <w:trPr>
          <w:trHeight w:val="300"/>
        </w:trPr>
        <w:tc>
          <w:tcPr>
            <w:tcW w:w="8736" w:type="dxa"/>
            <w:gridSpan w:val="6"/>
          </w:tcPr>
          <w:p w14:paraId="632B9203"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 xml:space="preserve">After non-fatal acute coronary syndrome </w:t>
            </w:r>
          </w:p>
        </w:tc>
      </w:tr>
      <w:tr w:rsidR="00FE37DB" w:rsidRPr="00A20A17" w14:paraId="652B32A8" w14:textId="77777777" w:rsidTr="00A80B48">
        <w:trPr>
          <w:trHeight w:val="300"/>
        </w:trPr>
        <w:tc>
          <w:tcPr>
            <w:tcW w:w="1676" w:type="dxa"/>
          </w:tcPr>
          <w:p w14:paraId="62D8E5C1"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Males</w:t>
            </w:r>
          </w:p>
        </w:tc>
        <w:tc>
          <w:tcPr>
            <w:tcW w:w="1676" w:type="dxa"/>
            <w:noWrap/>
            <w:hideMark/>
          </w:tcPr>
          <w:p w14:paraId="35F30976"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0.018</w:t>
            </w:r>
          </w:p>
        </w:tc>
        <w:tc>
          <w:tcPr>
            <w:tcW w:w="1796" w:type="dxa"/>
            <w:noWrap/>
            <w:hideMark/>
          </w:tcPr>
          <w:p w14:paraId="47BEC05E"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0.039</w:t>
            </w:r>
          </w:p>
        </w:tc>
        <w:tc>
          <w:tcPr>
            <w:tcW w:w="1196" w:type="dxa"/>
            <w:noWrap/>
            <w:hideMark/>
          </w:tcPr>
          <w:p w14:paraId="7BE6C171"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0.082</w:t>
            </w:r>
          </w:p>
        </w:tc>
        <w:tc>
          <w:tcPr>
            <w:tcW w:w="1196" w:type="dxa"/>
            <w:noWrap/>
            <w:hideMark/>
          </w:tcPr>
          <w:p w14:paraId="5E981073"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0.168</w:t>
            </w:r>
          </w:p>
        </w:tc>
        <w:tc>
          <w:tcPr>
            <w:tcW w:w="1196" w:type="dxa"/>
            <w:noWrap/>
            <w:hideMark/>
          </w:tcPr>
          <w:p w14:paraId="0ABBE41F"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0.328</w:t>
            </w:r>
          </w:p>
        </w:tc>
      </w:tr>
      <w:tr w:rsidR="00FE37DB" w:rsidRPr="00A20A17" w14:paraId="469F88D6" w14:textId="77777777" w:rsidTr="00A80B48">
        <w:trPr>
          <w:trHeight w:val="300"/>
        </w:trPr>
        <w:tc>
          <w:tcPr>
            <w:tcW w:w="1676" w:type="dxa"/>
          </w:tcPr>
          <w:p w14:paraId="4543361E"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 xml:space="preserve">Females </w:t>
            </w:r>
          </w:p>
        </w:tc>
        <w:tc>
          <w:tcPr>
            <w:tcW w:w="1676" w:type="dxa"/>
            <w:noWrap/>
            <w:vAlign w:val="bottom"/>
          </w:tcPr>
          <w:p w14:paraId="3E7FE3A2"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color w:val="000000"/>
                <w:sz w:val="18"/>
                <w:szCs w:val="18"/>
              </w:rPr>
              <w:t>0.014</w:t>
            </w:r>
          </w:p>
        </w:tc>
        <w:tc>
          <w:tcPr>
            <w:tcW w:w="1796" w:type="dxa"/>
            <w:noWrap/>
            <w:vAlign w:val="bottom"/>
          </w:tcPr>
          <w:p w14:paraId="4B4C834F"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color w:val="000000"/>
                <w:sz w:val="18"/>
                <w:szCs w:val="18"/>
              </w:rPr>
              <w:t>0.029</w:t>
            </w:r>
          </w:p>
        </w:tc>
        <w:tc>
          <w:tcPr>
            <w:tcW w:w="1196" w:type="dxa"/>
            <w:noWrap/>
            <w:vAlign w:val="bottom"/>
          </w:tcPr>
          <w:p w14:paraId="51565626"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color w:val="000000"/>
                <w:sz w:val="18"/>
                <w:szCs w:val="18"/>
              </w:rPr>
              <w:t>0.061</w:t>
            </w:r>
          </w:p>
        </w:tc>
        <w:tc>
          <w:tcPr>
            <w:tcW w:w="1196" w:type="dxa"/>
            <w:noWrap/>
            <w:vAlign w:val="bottom"/>
          </w:tcPr>
          <w:p w14:paraId="7833D195"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color w:val="000000"/>
                <w:sz w:val="18"/>
                <w:szCs w:val="18"/>
              </w:rPr>
              <w:t>0.123</w:t>
            </w:r>
          </w:p>
        </w:tc>
        <w:tc>
          <w:tcPr>
            <w:tcW w:w="1196" w:type="dxa"/>
            <w:noWrap/>
            <w:vAlign w:val="bottom"/>
          </w:tcPr>
          <w:p w14:paraId="76FC42E7"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color w:val="000000"/>
                <w:sz w:val="18"/>
                <w:szCs w:val="18"/>
              </w:rPr>
              <w:t>0.240</w:t>
            </w:r>
          </w:p>
        </w:tc>
      </w:tr>
      <w:tr w:rsidR="00FE37DB" w:rsidRPr="00A20A17" w14:paraId="56795E63" w14:textId="77777777" w:rsidTr="00A80B48">
        <w:trPr>
          <w:trHeight w:val="300"/>
        </w:trPr>
        <w:tc>
          <w:tcPr>
            <w:tcW w:w="8736" w:type="dxa"/>
            <w:gridSpan w:val="6"/>
          </w:tcPr>
          <w:p w14:paraId="71514963"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After non-fatal ischaemic stroke/ transient ischaemic attack</w:t>
            </w:r>
          </w:p>
        </w:tc>
      </w:tr>
      <w:tr w:rsidR="00FE37DB" w:rsidRPr="00A20A17" w14:paraId="6F5278EF" w14:textId="77777777" w:rsidTr="00A80B48">
        <w:trPr>
          <w:trHeight w:val="300"/>
        </w:trPr>
        <w:tc>
          <w:tcPr>
            <w:tcW w:w="1676" w:type="dxa"/>
          </w:tcPr>
          <w:p w14:paraId="0926ECE3"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Males</w:t>
            </w:r>
          </w:p>
        </w:tc>
        <w:tc>
          <w:tcPr>
            <w:tcW w:w="1676" w:type="dxa"/>
            <w:noWrap/>
            <w:vAlign w:val="bottom"/>
          </w:tcPr>
          <w:p w14:paraId="355A69AD"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color w:val="000000"/>
                <w:sz w:val="18"/>
                <w:szCs w:val="18"/>
              </w:rPr>
              <w:t>0.012</w:t>
            </w:r>
          </w:p>
        </w:tc>
        <w:tc>
          <w:tcPr>
            <w:tcW w:w="1796" w:type="dxa"/>
            <w:noWrap/>
            <w:vAlign w:val="bottom"/>
          </w:tcPr>
          <w:p w14:paraId="6894E7F0"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color w:val="000000"/>
                <w:sz w:val="18"/>
                <w:szCs w:val="18"/>
              </w:rPr>
              <w:t>0.024</w:t>
            </w:r>
          </w:p>
        </w:tc>
        <w:tc>
          <w:tcPr>
            <w:tcW w:w="1196" w:type="dxa"/>
            <w:noWrap/>
            <w:vAlign w:val="bottom"/>
          </w:tcPr>
          <w:p w14:paraId="3392D714"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color w:val="000000"/>
                <w:sz w:val="18"/>
                <w:szCs w:val="18"/>
              </w:rPr>
              <w:t>0.046</w:t>
            </w:r>
          </w:p>
        </w:tc>
        <w:tc>
          <w:tcPr>
            <w:tcW w:w="1196" w:type="dxa"/>
            <w:noWrap/>
            <w:vAlign w:val="bottom"/>
          </w:tcPr>
          <w:p w14:paraId="2351DB88"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color w:val="000000"/>
                <w:sz w:val="18"/>
                <w:szCs w:val="18"/>
              </w:rPr>
              <w:t>0.089</w:t>
            </w:r>
          </w:p>
        </w:tc>
        <w:tc>
          <w:tcPr>
            <w:tcW w:w="1196" w:type="dxa"/>
            <w:noWrap/>
            <w:vAlign w:val="bottom"/>
          </w:tcPr>
          <w:p w14:paraId="165FABE7"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color w:val="000000"/>
                <w:sz w:val="18"/>
                <w:szCs w:val="18"/>
              </w:rPr>
              <w:t>0.166</w:t>
            </w:r>
          </w:p>
        </w:tc>
      </w:tr>
      <w:tr w:rsidR="00FE37DB" w:rsidRPr="00A20A17" w14:paraId="38DD91ED" w14:textId="77777777" w:rsidTr="00A80B48">
        <w:trPr>
          <w:trHeight w:val="300"/>
        </w:trPr>
        <w:tc>
          <w:tcPr>
            <w:tcW w:w="1676" w:type="dxa"/>
          </w:tcPr>
          <w:p w14:paraId="49F6559F"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 xml:space="preserve">Females </w:t>
            </w:r>
          </w:p>
        </w:tc>
        <w:tc>
          <w:tcPr>
            <w:tcW w:w="1676" w:type="dxa"/>
            <w:noWrap/>
            <w:vAlign w:val="bottom"/>
          </w:tcPr>
          <w:p w14:paraId="0A3F84B7"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color w:val="000000"/>
                <w:sz w:val="18"/>
                <w:szCs w:val="18"/>
              </w:rPr>
              <w:t>0.011</w:t>
            </w:r>
          </w:p>
        </w:tc>
        <w:tc>
          <w:tcPr>
            <w:tcW w:w="1796" w:type="dxa"/>
            <w:noWrap/>
            <w:vAlign w:val="bottom"/>
          </w:tcPr>
          <w:p w14:paraId="41D30CB0"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color w:val="000000"/>
                <w:sz w:val="18"/>
                <w:szCs w:val="18"/>
              </w:rPr>
              <w:t>0.022</w:t>
            </w:r>
          </w:p>
        </w:tc>
        <w:tc>
          <w:tcPr>
            <w:tcW w:w="1196" w:type="dxa"/>
            <w:noWrap/>
            <w:vAlign w:val="bottom"/>
          </w:tcPr>
          <w:p w14:paraId="589A9C38"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color w:val="000000"/>
                <w:sz w:val="18"/>
                <w:szCs w:val="18"/>
              </w:rPr>
              <w:t>0.044</w:t>
            </w:r>
          </w:p>
        </w:tc>
        <w:tc>
          <w:tcPr>
            <w:tcW w:w="1196" w:type="dxa"/>
            <w:noWrap/>
            <w:vAlign w:val="bottom"/>
          </w:tcPr>
          <w:p w14:paraId="3E67F9D8"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color w:val="000000"/>
                <w:sz w:val="18"/>
                <w:szCs w:val="18"/>
              </w:rPr>
              <w:t>0.087</w:t>
            </w:r>
          </w:p>
        </w:tc>
        <w:tc>
          <w:tcPr>
            <w:tcW w:w="1196" w:type="dxa"/>
            <w:noWrap/>
            <w:vAlign w:val="bottom"/>
          </w:tcPr>
          <w:p w14:paraId="35E8A3B8"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color w:val="000000"/>
                <w:sz w:val="18"/>
                <w:szCs w:val="18"/>
              </w:rPr>
              <w:t>0.167</w:t>
            </w:r>
          </w:p>
        </w:tc>
      </w:tr>
      <w:tr w:rsidR="00FE37DB" w:rsidRPr="00A20A17" w14:paraId="11133C31" w14:textId="77777777" w:rsidTr="00A80B48">
        <w:trPr>
          <w:trHeight w:val="300"/>
        </w:trPr>
        <w:tc>
          <w:tcPr>
            <w:tcW w:w="8736" w:type="dxa"/>
            <w:gridSpan w:val="6"/>
          </w:tcPr>
          <w:p w14:paraId="273400E6" w14:textId="77777777" w:rsidR="00FE37DB" w:rsidRPr="00A20A17" w:rsidRDefault="00FE37DB" w:rsidP="00A80B48">
            <w:pPr>
              <w:spacing w:before="60" w:after="60" w:line="240" w:lineRule="auto"/>
              <w:rPr>
                <w:rFonts w:ascii="Calibri" w:eastAsia="Calibri" w:hAnsi="Calibri" w:cs="Calibri"/>
                <w:color w:val="000000"/>
                <w:sz w:val="18"/>
                <w:szCs w:val="18"/>
              </w:rPr>
            </w:pPr>
            <w:r w:rsidRPr="00A20A17">
              <w:rPr>
                <w:rFonts w:ascii="Calibri" w:eastAsia="Calibri" w:hAnsi="Calibri" w:cs="Calibri"/>
                <w:color w:val="000000"/>
                <w:sz w:val="18"/>
                <w:szCs w:val="18"/>
              </w:rPr>
              <w:t xml:space="preserve">Distribution for probabilistic sensitivity analysis: </w:t>
            </w:r>
            <w:r w:rsidRPr="00A20A17">
              <w:rPr>
                <w:rFonts w:ascii="Calibri" w:eastAsia="Calibri" w:hAnsi="Calibri" w:cs="Arial"/>
                <w:sz w:val="18"/>
                <w:szCs w:val="18"/>
              </w:rPr>
              <w:t xml:space="preserve">Multivariate normal for the risk from Lewsey equations </w:t>
            </w:r>
            <w:r w:rsidRPr="00A20A17">
              <w:rPr>
                <w:rFonts w:ascii="Calibri" w:eastAsia="Calibri" w:hAnsi="Calibri" w:cs="Arial"/>
              </w:rPr>
              <w:fldChar w:fldCharType="begin"/>
            </w:r>
            <w:r w:rsidRPr="00A20A17">
              <w:rPr>
                <w:rFonts w:ascii="Calibri" w:eastAsia="Calibri" w:hAnsi="Calibri" w:cs="Arial"/>
              </w:rPr>
              <w:instrText xml:space="preserve"> ADDIN EN.CITE &lt;EndNote&gt;&lt;Cite&gt;&lt;Author&gt;Lewsey&lt;/Author&gt;&lt;Year&gt;2015&lt;/Year&gt;&lt;IDText&gt;A cardiovascular disease policy model that predicts life expectancy taking into account socioeconomic deprivation&lt;/IDText&gt;&lt;DisplayText&gt;&lt;style face="superscript"&gt;17&lt;/style&gt;&lt;/DisplayText&gt;&lt;record&gt;&lt;dates&gt;&lt;pub-dates&gt;&lt;date&gt;Feb&lt;/date&gt;&lt;/pub-dates&gt;&lt;year&gt;2015&lt;/year&gt;&lt;/dates&gt;&lt;keywords&gt;&lt;keyword&gt;Cardiovascular Diseases&lt;/keyword&gt;&lt;keyword&gt;Cost-Benefit Analysis&lt;/keyword&gt;&lt;keyword&gt;Female&lt;/keyword&gt;&lt;keyword&gt;Humans&lt;/keyword&gt;&lt;keyword&gt;Life Expectancy&lt;/keyword&gt;&lt;keyword&gt;Male&lt;/keyword&gt;&lt;keyword&gt;Middle Aged&lt;/keyword&gt;&lt;keyword&gt;Models, Cardiovascular&lt;/keyword&gt;&lt;keyword&gt;Morbidity&lt;/keyword&gt;&lt;keyword&gt;Primary Prevention&lt;/keyword&gt;&lt;keyword&gt;Risk Factors&lt;/keyword&gt;&lt;keyword&gt;Socioeconomic Factors&lt;/keyword&gt;&lt;keyword&gt;Survival Rate&lt;/keyword&gt;&lt;keyword&gt;United Kingdom&lt;/keyword&gt;&lt;keyword&gt;CORONARY ARTERY DISEASE&lt;/keyword&gt;&lt;keyword&gt;QUALITY OF CARE AND OUTCOMES&lt;/keyword&gt;&lt;/keywords&gt;&lt;urls&gt;&lt;related-urls&gt;&lt;url&gt;https://www.ncbi.nlm.nih.gov/pubmed/25324535&lt;/url&gt;&lt;/related-urls&gt;&lt;/urls&gt;&lt;isbn&gt;1468-201X&lt;/isbn&gt;&lt;custom2&gt;PMC4316925&lt;/custom2&gt;&lt;titles&gt;&lt;title&gt;A cardiovascular disease policy model that predicts life expectancy taking into account socioeconomic deprivation&lt;/title&gt;&lt;secondary-title&gt;Heart&lt;/secondary-title&gt;&lt;/titles&gt;&lt;pages&gt;201-8&lt;/pages&gt;&lt;number&gt;3&lt;/number&gt;&lt;contributors&gt;&lt;authors&gt;&lt;author&gt;Lewsey, J. D.&lt;/author&gt;&lt;author&gt;Lawson, K. D.&lt;/author&gt;&lt;author&gt;Ford, I.&lt;/author&gt;&lt;author&gt;Fox, K. A.&lt;/author&gt;&lt;author&gt;Ritchie, L. D.&lt;/author&gt;&lt;author&gt;Tunstall-Pedoe, H.&lt;/author&gt;&lt;author&gt;Watt, G. C.&lt;/author&gt;&lt;author&gt;Woodward, M.&lt;/author&gt;&lt;author&gt;Kent, S.&lt;/author&gt;&lt;author&gt;Neilson, M.&lt;/author&gt;&lt;author&gt;Briggs, A. H.&lt;/author&gt;&lt;/authors&gt;&lt;/contributors&gt;&lt;edition&gt;2014/10/16&lt;/edition&gt;&lt;language&gt;eng&lt;/language&gt;&lt;added-date format="utc"&gt;1621865848&lt;/added-date&gt;&lt;ref-type name="Journal Article"&gt;17&lt;/ref-type&gt;&lt;rec-number&gt;186&lt;/rec-number&gt;&lt;last-updated-date format="utc"&gt;1621865848&lt;/last-updated-date&gt;&lt;accession-num&gt;25324535&lt;/accession-num&gt;&lt;electronic-resource-num&gt;10.1136/heartjnl-2014-305637&lt;/electronic-resource-num&gt;&lt;volume&gt;101&lt;/volume&gt;&lt;/record&gt;&lt;/Cite&gt;&lt;/EndNote&gt;</w:instrText>
            </w:r>
            <w:r w:rsidRPr="00A20A17">
              <w:rPr>
                <w:rFonts w:ascii="Calibri" w:eastAsia="Calibri" w:hAnsi="Calibri" w:cs="Arial"/>
              </w:rPr>
              <w:fldChar w:fldCharType="separate"/>
            </w:r>
            <w:r w:rsidRPr="00A20A17">
              <w:rPr>
                <w:rFonts w:ascii="Calibri" w:eastAsia="Calibri" w:hAnsi="Calibri" w:cs="Arial"/>
                <w:noProof/>
                <w:vertAlign w:val="superscript"/>
              </w:rPr>
              <w:t>17</w:t>
            </w:r>
            <w:r w:rsidRPr="00A20A17">
              <w:rPr>
                <w:rFonts w:ascii="Calibri" w:eastAsia="Calibri" w:hAnsi="Calibri" w:cs="Arial"/>
              </w:rPr>
              <w:fldChar w:fldCharType="end"/>
            </w:r>
            <w:r w:rsidRPr="00A20A17">
              <w:rPr>
                <w:rFonts w:ascii="Calibri" w:eastAsia="Calibri" w:hAnsi="Calibri" w:cs="Arial"/>
                <w:sz w:val="18"/>
                <w:szCs w:val="18"/>
              </w:rPr>
              <w:t>.</w:t>
            </w:r>
          </w:p>
        </w:tc>
      </w:tr>
    </w:tbl>
    <w:p w14:paraId="29F8E5F7" w14:textId="77777777" w:rsidR="00FE37DB" w:rsidRPr="00A20A17" w:rsidRDefault="00FE37DB" w:rsidP="00FE37DB">
      <w:pPr>
        <w:spacing w:before="120" w:after="120"/>
        <w:rPr>
          <w:rFonts w:ascii="Calibri" w:eastAsia="Calibri" w:hAnsi="Calibri" w:cs="Arial"/>
        </w:rPr>
      </w:pPr>
    </w:p>
    <w:p w14:paraId="4C9AF71E" w14:textId="77777777" w:rsidR="00FE37DB" w:rsidRPr="00A20A17" w:rsidRDefault="00FE37DB" w:rsidP="00FE37DB">
      <w:pPr>
        <w:keepNext/>
        <w:keepLines/>
        <w:spacing w:before="240" w:after="120"/>
        <w:outlineLvl w:val="1"/>
        <w:rPr>
          <w:rFonts w:ascii="Calibri Light" w:eastAsia="Calibri Light" w:hAnsi="Calibri Light" w:cs="Times New Roman"/>
          <w:color w:val="2F5496"/>
          <w:sz w:val="26"/>
          <w:szCs w:val="26"/>
        </w:rPr>
      </w:pPr>
      <w:bookmarkStart w:id="9" w:name="_Toc73625975"/>
      <w:r w:rsidRPr="00A20A17">
        <w:rPr>
          <w:rFonts w:ascii="Calibri Light" w:eastAsia="Calibri Light" w:hAnsi="Calibri Light" w:cs="Times New Roman"/>
          <w:color w:val="2F5496"/>
          <w:sz w:val="26"/>
          <w:szCs w:val="26"/>
        </w:rPr>
        <w:t>Other inputs</w:t>
      </w:r>
      <w:bookmarkEnd w:id="9"/>
    </w:p>
    <w:p w14:paraId="70071130" w14:textId="77777777" w:rsidR="00FE37DB" w:rsidRPr="00A20A17" w:rsidRDefault="00FE37DB" w:rsidP="00FE37DB">
      <w:pPr>
        <w:keepNext/>
        <w:spacing w:before="120"/>
        <w:rPr>
          <w:rFonts w:ascii="Calibri" w:eastAsia="Calibri" w:hAnsi="Calibri" w:cs="Arial"/>
          <w:i/>
          <w:iCs/>
          <w:color w:val="44546A"/>
          <w:sz w:val="18"/>
          <w:szCs w:val="18"/>
        </w:rPr>
      </w:pPr>
      <w:r w:rsidRPr="00A20A17">
        <w:rPr>
          <w:rFonts w:ascii="Calibri" w:eastAsia="Calibri" w:hAnsi="Calibri" w:cs="Arial"/>
          <w:i/>
          <w:iCs/>
          <w:color w:val="44546A"/>
          <w:sz w:val="18"/>
          <w:szCs w:val="18"/>
        </w:rPr>
        <w:t xml:space="preserve">Table </w:t>
      </w:r>
      <w:r w:rsidRPr="00A20A17">
        <w:rPr>
          <w:rFonts w:ascii="Calibri" w:eastAsia="Calibri" w:hAnsi="Calibri" w:cs="Arial"/>
          <w:i/>
          <w:iCs/>
          <w:color w:val="44546A"/>
          <w:sz w:val="18"/>
          <w:szCs w:val="18"/>
        </w:rPr>
        <w:fldChar w:fldCharType="begin"/>
      </w:r>
      <w:r w:rsidRPr="00A20A17">
        <w:rPr>
          <w:rFonts w:ascii="Calibri" w:eastAsia="Calibri" w:hAnsi="Calibri" w:cs="Arial"/>
          <w:i/>
          <w:iCs/>
          <w:color w:val="44546A"/>
          <w:sz w:val="18"/>
          <w:szCs w:val="18"/>
        </w:rPr>
        <w:instrText>SEQ Table \* ARABIC</w:instrText>
      </w:r>
      <w:r w:rsidRPr="00A20A17">
        <w:rPr>
          <w:rFonts w:ascii="Calibri" w:eastAsia="Calibri" w:hAnsi="Calibri" w:cs="Arial"/>
          <w:i/>
          <w:iCs/>
          <w:color w:val="44546A"/>
          <w:sz w:val="18"/>
          <w:szCs w:val="18"/>
        </w:rPr>
        <w:fldChar w:fldCharType="separate"/>
      </w:r>
      <w:r w:rsidRPr="00A20A17">
        <w:rPr>
          <w:rFonts w:ascii="Calibri" w:eastAsia="Calibri" w:hAnsi="Calibri" w:cs="Arial"/>
          <w:i/>
          <w:iCs/>
          <w:noProof/>
          <w:color w:val="44546A"/>
          <w:sz w:val="18"/>
          <w:szCs w:val="18"/>
        </w:rPr>
        <w:t>9</w:t>
      </w:r>
      <w:r w:rsidRPr="00A20A17">
        <w:rPr>
          <w:rFonts w:ascii="Calibri" w:eastAsia="Calibri" w:hAnsi="Calibri" w:cs="Arial"/>
          <w:i/>
          <w:iCs/>
          <w:color w:val="44546A"/>
          <w:sz w:val="18"/>
          <w:szCs w:val="18"/>
        </w:rPr>
        <w:fldChar w:fldCharType="end"/>
      </w:r>
      <w:r w:rsidRPr="00A20A17">
        <w:rPr>
          <w:rFonts w:ascii="Calibri" w:eastAsia="Calibri" w:hAnsi="Calibri" w:cs="Arial"/>
          <w:i/>
          <w:iCs/>
          <w:color w:val="44546A"/>
          <w:sz w:val="18"/>
          <w:szCs w:val="18"/>
        </w:rPr>
        <w:t xml:space="preserve">: Probability of non-cardiovascular death per annum by sex and age used in the cost-effectiveness model </w:t>
      </w:r>
      <w:r w:rsidRPr="00A20A17">
        <w:rPr>
          <w:rFonts w:ascii="Calibri" w:eastAsia="Calibri" w:hAnsi="Calibri" w:cs="Arial"/>
          <w:i/>
          <w:iCs/>
          <w:color w:val="44546A"/>
          <w:sz w:val="18"/>
          <w:szCs w:val="18"/>
        </w:rPr>
        <w:fldChar w:fldCharType="begin"/>
      </w:r>
      <w:r w:rsidRPr="00A20A17">
        <w:rPr>
          <w:rFonts w:ascii="Calibri" w:eastAsia="Calibri" w:hAnsi="Calibri" w:cs="Arial"/>
          <w:i/>
          <w:iCs/>
          <w:color w:val="44546A"/>
          <w:sz w:val="18"/>
          <w:szCs w:val="18"/>
        </w:rPr>
        <w:instrText xml:space="preserve"> ADDIN EN.CITE &lt;EndNote&gt;&lt;Cite&gt;&lt;Author&gt;Office of National Statistics&lt;/Author&gt;&lt;Year&gt;2020&lt;/Year&gt;&lt;IDText&gt;National life tables: UK&lt;/IDText&gt;&lt;DisplayText&gt;&lt;style face="superscript"&gt;18&lt;/style&gt;&lt;/DisplayText&gt;&lt;record&gt;&lt;urls&gt;&lt;related-urls&gt;&lt;url&gt;https://www.ons.gov.uk/peoplepopulationandcommunity/birthsdeathsandmarriages/lifeexpectancies/datasets/nationallifetablesunitedkingdomreferencetables&lt;/url&gt;&lt;/related-urls&gt;&lt;/urls&gt;&lt;titles&gt;&lt;title&gt;National life tables: UK&lt;/title&gt;&lt;/titles&gt;&lt;access-date&gt;24/05/2021&lt;/access-date&gt;&lt;contributors&gt;&lt;authors&gt;&lt;author&gt;Office of National Statistics,&lt;/author&gt;&lt;/authors&gt;&lt;/contributors&gt;&lt;added-date format="utc"&gt;1621866362&lt;/added-date&gt;&lt;ref-type name="Dataset"&gt;59&lt;/ref-type&gt;&lt;dates&gt;&lt;year&gt;2020&lt;/year&gt;&lt;/dates&gt;&lt;rec-number&gt;3&lt;/rec-number&gt;&lt;last-updated-date format="utc"&gt;1621866438&lt;/last-updated-date&gt;&lt;contributors&gt;&lt;secondary-authors&gt;&lt;author&gt;Office of National Statistics&lt;/author&gt;&lt;/secondary-authors&gt;&lt;/contributors&gt;&lt;/record&gt;&lt;/Cite&gt;&lt;/EndNote&gt;</w:instrText>
      </w:r>
      <w:r w:rsidRPr="00A20A17">
        <w:rPr>
          <w:rFonts w:ascii="Calibri" w:eastAsia="Calibri" w:hAnsi="Calibri" w:cs="Arial"/>
          <w:i/>
          <w:iCs/>
          <w:color w:val="44546A"/>
          <w:sz w:val="18"/>
          <w:szCs w:val="18"/>
        </w:rPr>
        <w:fldChar w:fldCharType="separate"/>
      </w:r>
      <w:r w:rsidRPr="00A20A17">
        <w:rPr>
          <w:rFonts w:ascii="Calibri" w:eastAsia="Calibri" w:hAnsi="Calibri" w:cs="Arial"/>
          <w:i/>
          <w:iCs/>
          <w:noProof/>
          <w:color w:val="44546A"/>
          <w:sz w:val="18"/>
          <w:szCs w:val="18"/>
          <w:vertAlign w:val="superscript"/>
        </w:rPr>
        <w:t>18</w:t>
      </w:r>
      <w:r w:rsidRPr="00A20A17">
        <w:rPr>
          <w:rFonts w:ascii="Calibri" w:eastAsia="Calibri" w:hAnsi="Calibri" w:cs="Arial"/>
          <w:i/>
          <w:iCs/>
          <w:color w:val="44546A"/>
          <w:sz w:val="18"/>
          <w:szCs w:val="18"/>
        </w:rPr>
        <w:fldChar w:fldCharType="end"/>
      </w:r>
    </w:p>
    <w:tbl>
      <w:tblPr>
        <w:tblStyle w:val="TableGrid11"/>
        <w:tblW w:w="3681" w:type="dxa"/>
        <w:tblLook w:val="04A0" w:firstRow="1" w:lastRow="0" w:firstColumn="1" w:lastColumn="0" w:noHBand="0" w:noVBand="1"/>
      </w:tblPr>
      <w:tblGrid>
        <w:gridCol w:w="1356"/>
        <w:gridCol w:w="939"/>
        <w:gridCol w:w="1386"/>
      </w:tblGrid>
      <w:tr w:rsidR="00FE37DB" w:rsidRPr="00A20A17" w14:paraId="1BCFDC75" w14:textId="77777777" w:rsidTr="00A80B48">
        <w:trPr>
          <w:trHeight w:val="300"/>
        </w:trPr>
        <w:tc>
          <w:tcPr>
            <w:tcW w:w="1356" w:type="dxa"/>
            <w:noWrap/>
            <w:hideMark/>
          </w:tcPr>
          <w:p w14:paraId="5A2B4FBA" w14:textId="77777777" w:rsidR="00FE37DB" w:rsidRPr="00A20A17" w:rsidRDefault="00FE37DB" w:rsidP="00A80B48">
            <w:pPr>
              <w:spacing w:after="0" w:line="240" w:lineRule="auto"/>
              <w:rPr>
                <w:rFonts w:ascii="Calibri" w:eastAsia="Times New Roman" w:hAnsi="Calibri" w:cs="Calibri"/>
                <w:color w:val="000000"/>
                <w:sz w:val="18"/>
                <w:szCs w:val="18"/>
                <w:lang w:eastAsia="en-GB"/>
              </w:rPr>
            </w:pPr>
            <w:r w:rsidRPr="00A20A17">
              <w:rPr>
                <w:rFonts w:ascii="Calibri" w:eastAsia="Times New Roman" w:hAnsi="Calibri" w:cs="Calibri"/>
                <w:b/>
                <w:bCs/>
                <w:color w:val="000000"/>
                <w:sz w:val="18"/>
                <w:szCs w:val="18"/>
                <w:lang w:eastAsia="en-GB"/>
              </w:rPr>
              <w:t>Age</w:t>
            </w:r>
          </w:p>
        </w:tc>
        <w:tc>
          <w:tcPr>
            <w:tcW w:w="939" w:type="dxa"/>
            <w:noWrap/>
            <w:hideMark/>
          </w:tcPr>
          <w:p w14:paraId="4A9E84FC" w14:textId="77777777" w:rsidR="00FE37DB" w:rsidRPr="00A20A17" w:rsidRDefault="00FE37DB" w:rsidP="00A80B48">
            <w:pPr>
              <w:spacing w:after="0" w:line="240" w:lineRule="auto"/>
              <w:rPr>
                <w:rFonts w:ascii="Calibri" w:eastAsia="Times New Roman" w:hAnsi="Calibri" w:cs="Calibri"/>
                <w:color w:val="000000"/>
                <w:sz w:val="18"/>
                <w:szCs w:val="18"/>
                <w:lang w:eastAsia="en-GB"/>
              </w:rPr>
            </w:pPr>
            <w:r w:rsidRPr="00A20A17">
              <w:rPr>
                <w:rFonts w:ascii="Calibri" w:eastAsia="Times New Roman" w:hAnsi="Calibri" w:cs="Calibri"/>
                <w:color w:val="000000"/>
                <w:sz w:val="18"/>
                <w:szCs w:val="18"/>
                <w:lang w:eastAsia="en-GB"/>
              </w:rPr>
              <w:t>Male</w:t>
            </w:r>
          </w:p>
        </w:tc>
        <w:tc>
          <w:tcPr>
            <w:tcW w:w="1386" w:type="dxa"/>
            <w:noWrap/>
            <w:hideMark/>
          </w:tcPr>
          <w:p w14:paraId="3E609F66" w14:textId="77777777" w:rsidR="00FE37DB" w:rsidRPr="00A20A17" w:rsidRDefault="00FE37DB" w:rsidP="00A80B48">
            <w:pPr>
              <w:spacing w:after="0" w:line="240" w:lineRule="auto"/>
              <w:rPr>
                <w:rFonts w:ascii="Calibri" w:eastAsia="Times New Roman" w:hAnsi="Calibri" w:cs="Calibri"/>
                <w:color w:val="000000"/>
                <w:sz w:val="18"/>
                <w:szCs w:val="18"/>
                <w:lang w:eastAsia="en-GB"/>
              </w:rPr>
            </w:pPr>
            <w:r w:rsidRPr="00A20A17">
              <w:rPr>
                <w:rFonts w:ascii="Calibri" w:eastAsia="Times New Roman" w:hAnsi="Calibri" w:cs="Calibri"/>
                <w:color w:val="000000"/>
                <w:sz w:val="18"/>
                <w:szCs w:val="18"/>
                <w:lang w:eastAsia="en-GB"/>
              </w:rPr>
              <w:t>Female</w:t>
            </w:r>
          </w:p>
        </w:tc>
      </w:tr>
      <w:tr w:rsidR="00FE37DB" w:rsidRPr="00A20A17" w14:paraId="5E842129" w14:textId="77777777" w:rsidTr="00A80B48">
        <w:trPr>
          <w:trHeight w:val="300"/>
        </w:trPr>
        <w:tc>
          <w:tcPr>
            <w:tcW w:w="1356" w:type="dxa"/>
            <w:noWrap/>
            <w:hideMark/>
          </w:tcPr>
          <w:p w14:paraId="10492429" w14:textId="77777777" w:rsidR="00FE37DB" w:rsidRPr="00A20A17" w:rsidRDefault="00FE37DB" w:rsidP="00A80B48">
            <w:pPr>
              <w:spacing w:after="0" w:line="240" w:lineRule="auto"/>
              <w:rPr>
                <w:rFonts w:ascii="Calibri" w:eastAsia="Times New Roman" w:hAnsi="Calibri" w:cs="Calibri"/>
                <w:color w:val="000000"/>
                <w:sz w:val="18"/>
                <w:szCs w:val="18"/>
                <w:lang w:eastAsia="en-GB"/>
              </w:rPr>
            </w:pPr>
            <w:r w:rsidRPr="00A20A17">
              <w:rPr>
                <w:rFonts w:ascii="Calibri" w:eastAsia="Times New Roman" w:hAnsi="Calibri" w:cs="Calibri"/>
                <w:color w:val="000000"/>
                <w:sz w:val="18"/>
                <w:szCs w:val="18"/>
                <w:lang w:eastAsia="en-GB"/>
              </w:rPr>
              <w:t>Aged under 1</w:t>
            </w:r>
          </w:p>
        </w:tc>
        <w:tc>
          <w:tcPr>
            <w:tcW w:w="939" w:type="dxa"/>
            <w:noWrap/>
            <w:hideMark/>
          </w:tcPr>
          <w:p w14:paraId="60FD0073" w14:textId="77777777" w:rsidR="00FE37DB" w:rsidRPr="00A20A17" w:rsidRDefault="00FE37DB" w:rsidP="00A80B48">
            <w:pPr>
              <w:spacing w:after="0" w:line="240" w:lineRule="auto"/>
              <w:jc w:val="right"/>
              <w:rPr>
                <w:rFonts w:ascii="Calibri" w:eastAsia="Times New Roman" w:hAnsi="Calibri" w:cs="Calibri"/>
                <w:color w:val="000000"/>
                <w:sz w:val="18"/>
                <w:szCs w:val="18"/>
                <w:lang w:eastAsia="en-GB"/>
              </w:rPr>
            </w:pPr>
            <w:r w:rsidRPr="00A20A17">
              <w:rPr>
                <w:rFonts w:ascii="Calibri" w:eastAsia="Times New Roman" w:hAnsi="Calibri" w:cs="Calibri"/>
                <w:color w:val="000000"/>
                <w:sz w:val="18"/>
                <w:szCs w:val="18"/>
                <w:lang w:eastAsia="en-GB"/>
              </w:rPr>
              <w:t>0.0038</w:t>
            </w:r>
          </w:p>
        </w:tc>
        <w:tc>
          <w:tcPr>
            <w:tcW w:w="1386" w:type="dxa"/>
            <w:noWrap/>
            <w:hideMark/>
          </w:tcPr>
          <w:p w14:paraId="65072786" w14:textId="77777777" w:rsidR="00FE37DB" w:rsidRPr="00A20A17" w:rsidRDefault="00FE37DB" w:rsidP="00A80B48">
            <w:pPr>
              <w:spacing w:after="0" w:line="240" w:lineRule="auto"/>
              <w:jc w:val="right"/>
              <w:rPr>
                <w:rFonts w:ascii="Calibri" w:eastAsia="Times New Roman" w:hAnsi="Calibri" w:cs="Calibri"/>
                <w:color w:val="000000"/>
                <w:sz w:val="18"/>
                <w:szCs w:val="18"/>
                <w:lang w:eastAsia="en-GB"/>
              </w:rPr>
            </w:pPr>
            <w:r w:rsidRPr="00A20A17">
              <w:rPr>
                <w:rFonts w:ascii="Calibri" w:eastAsia="Times New Roman" w:hAnsi="Calibri" w:cs="Calibri"/>
                <w:color w:val="000000"/>
                <w:sz w:val="18"/>
                <w:szCs w:val="18"/>
                <w:lang w:eastAsia="en-GB"/>
              </w:rPr>
              <w:t>0.0031</w:t>
            </w:r>
          </w:p>
        </w:tc>
      </w:tr>
      <w:tr w:rsidR="00FE37DB" w:rsidRPr="00A20A17" w14:paraId="7FA776EA" w14:textId="77777777" w:rsidTr="00A80B48">
        <w:trPr>
          <w:trHeight w:val="300"/>
        </w:trPr>
        <w:tc>
          <w:tcPr>
            <w:tcW w:w="1356" w:type="dxa"/>
            <w:noWrap/>
            <w:hideMark/>
          </w:tcPr>
          <w:p w14:paraId="0DF907CD" w14:textId="77777777" w:rsidR="00FE37DB" w:rsidRPr="00A20A17" w:rsidRDefault="00FE37DB" w:rsidP="00A80B48">
            <w:pPr>
              <w:spacing w:after="0" w:line="240" w:lineRule="auto"/>
              <w:rPr>
                <w:rFonts w:ascii="Calibri" w:eastAsia="Times New Roman" w:hAnsi="Calibri" w:cs="Calibri"/>
                <w:color w:val="000000"/>
                <w:sz w:val="18"/>
                <w:szCs w:val="18"/>
                <w:lang w:eastAsia="en-GB"/>
              </w:rPr>
            </w:pPr>
            <w:r w:rsidRPr="00A20A17">
              <w:rPr>
                <w:rFonts w:ascii="Calibri" w:eastAsia="Times New Roman" w:hAnsi="Calibri" w:cs="Calibri"/>
                <w:color w:val="000000"/>
                <w:sz w:val="18"/>
                <w:szCs w:val="18"/>
                <w:lang w:eastAsia="en-GB"/>
              </w:rPr>
              <w:t>Aged 1 to 4</w:t>
            </w:r>
          </w:p>
        </w:tc>
        <w:tc>
          <w:tcPr>
            <w:tcW w:w="939" w:type="dxa"/>
            <w:noWrap/>
            <w:hideMark/>
          </w:tcPr>
          <w:p w14:paraId="25ACF826" w14:textId="77777777" w:rsidR="00FE37DB" w:rsidRPr="00A20A17" w:rsidRDefault="00FE37DB" w:rsidP="00A80B48">
            <w:pPr>
              <w:spacing w:after="0" w:line="240" w:lineRule="auto"/>
              <w:jc w:val="right"/>
              <w:rPr>
                <w:rFonts w:ascii="Calibri" w:eastAsia="Times New Roman" w:hAnsi="Calibri" w:cs="Calibri"/>
                <w:color w:val="000000"/>
                <w:sz w:val="18"/>
                <w:szCs w:val="18"/>
                <w:lang w:eastAsia="en-GB"/>
              </w:rPr>
            </w:pPr>
            <w:r w:rsidRPr="00A20A17">
              <w:rPr>
                <w:rFonts w:ascii="Calibri" w:eastAsia="Times New Roman" w:hAnsi="Calibri" w:cs="Calibri"/>
                <w:color w:val="000000"/>
                <w:sz w:val="18"/>
                <w:szCs w:val="18"/>
                <w:lang w:eastAsia="en-GB"/>
              </w:rPr>
              <w:t>0.0001</w:t>
            </w:r>
          </w:p>
        </w:tc>
        <w:tc>
          <w:tcPr>
            <w:tcW w:w="1386" w:type="dxa"/>
            <w:noWrap/>
            <w:hideMark/>
          </w:tcPr>
          <w:p w14:paraId="77B897E0" w14:textId="77777777" w:rsidR="00FE37DB" w:rsidRPr="00A20A17" w:rsidRDefault="00FE37DB" w:rsidP="00A80B48">
            <w:pPr>
              <w:spacing w:after="0" w:line="240" w:lineRule="auto"/>
              <w:jc w:val="right"/>
              <w:rPr>
                <w:rFonts w:ascii="Calibri" w:eastAsia="Times New Roman" w:hAnsi="Calibri" w:cs="Calibri"/>
                <w:color w:val="000000"/>
                <w:sz w:val="18"/>
                <w:szCs w:val="18"/>
                <w:lang w:eastAsia="en-GB"/>
              </w:rPr>
            </w:pPr>
            <w:r w:rsidRPr="00A20A17">
              <w:rPr>
                <w:rFonts w:ascii="Calibri" w:eastAsia="Times New Roman" w:hAnsi="Calibri" w:cs="Calibri"/>
                <w:color w:val="000000"/>
                <w:sz w:val="18"/>
                <w:szCs w:val="18"/>
                <w:lang w:eastAsia="en-GB"/>
              </w:rPr>
              <w:t>0.0001</w:t>
            </w:r>
          </w:p>
        </w:tc>
      </w:tr>
      <w:tr w:rsidR="00FE37DB" w:rsidRPr="00A20A17" w14:paraId="757A528A" w14:textId="77777777" w:rsidTr="00A80B48">
        <w:trPr>
          <w:trHeight w:val="300"/>
        </w:trPr>
        <w:tc>
          <w:tcPr>
            <w:tcW w:w="1356" w:type="dxa"/>
            <w:noWrap/>
            <w:hideMark/>
          </w:tcPr>
          <w:p w14:paraId="5689E9AA" w14:textId="77777777" w:rsidR="00FE37DB" w:rsidRPr="00A20A17" w:rsidRDefault="00FE37DB" w:rsidP="00A80B48">
            <w:pPr>
              <w:spacing w:after="0" w:line="240" w:lineRule="auto"/>
              <w:rPr>
                <w:rFonts w:ascii="Calibri" w:eastAsia="Times New Roman" w:hAnsi="Calibri" w:cs="Calibri"/>
                <w:color w:val="000000"/>
                <w:sz w:val="18"/>
                <w:szCs w:val="18"/>
                <w:lang w:eastAsia="en-GB"/>
              </w:rPr>
            </w:pPr>
            <w:r w:rsidRPr="00A20A17">
              <w:rPr>
                <w:rFonts w:ascii="Calibri" w:eastAsia="Times New Roman" w:hAnsi="Calibri" w:cs="Calibri"/>
                <w:color w:val="000000"/>
                <w:sz w:val="18"/>
                <w:szCs w:val="18"/>
                <w:lang w:eastAsia="en-GB"/>
              </w:rPr>
              <w:t>Aged 5 to 9</w:t>
            </w:r>
          </w:p>
        </w:tc>
        <w:tc>
          <w:tcPr>
            <w:tcW w:w="939" w:type="dxa"/>
            <w:noWrap/>
            <w:hideMark/>
          </w:tcPr>
          <w:p w14:paraId="03D605F0" w14:textId="77777777" w:rsidR="00FE37DB" w:rsidRPr="00A20A17" w:rsidRDefault="00FE37DB" w:rsidP="00A80B48">
            <w:pPr>
              <w:spacing w:after="0" w:line="240" w:lineRule="auto"/>
              <w:jc w:val="right"/>
              <w:rPr>
                <w:rFonts w:ascii="Calibri" w:eastAsia="Times New Roman" w:hAnsi="Calibri" w:cs="Calibri"/>
                <w:color w:val="000000"/>
                <w:sz w:val="18"/>
                <w:szCs w:val="18"/>
                <w:lang w:eastAsia="en-GB"/>
              </w:rPr>
            </w:pPr>
            <w:r w:rsidRPr="00A20A17">
              <w:rPr>
                <w:rFonts w:ascii="Calibri" w:eastAsia="Times New Roman" w:hAnsi="Calibri" w:cs="Calibri"/>
                <w:color w:val="000000"/>
                <w:sz w:val="18"/>
                <w:szCs w:val="18"/>
                <w:lang w:eastAsia="en-GB"/>
              </w:rPr>
              <w:t>0.0001</w:t>
            </w:r>
          </w:p>
        </w:tc>
        <w:tc>
          <w:tcPr>
            <w:tcW w:w="1386" w:type="dxa"/>
            <w:noWrap/>
            <w:hideMark/>
          </w:tcPr>
          <w:p w14:paraId="44AE803C" w14:textId="77777777" w:rsidR="00FE37DB" w:rsidRPr="00A20A17" w:rsidRDefault="00FE37DB" w:rsidP="00A80B48">
            <w:pPr>
              <w:spacing w:after="0" w:line="240" w:lineRule="auto"/>
              <w:jc w:val="right"/>
              <w:rPr>
                <w:rFonts w:ascii="Calibri" w:eastAsia="Times New Roman" w:hAnsi="Calibri" w:cs="Calibri"/>
                <w:color w:val="000000"/>
                <w:sz w:val="18"/>
                <w:szCs w:val="18"/>
                <w:lang w:eastAsia="en-GB"/>
              </w:rPr>
            </w:pPr>
            <w:r w:rsidRPr="00A20A17">
              <w:rPr>
                <w:rFonts w:ascii="Calibri" w:eastAsia="Times New Roman" w:hAnsi="Calibri" w:cs="Calibri"/>
                <w:color w:val="000000"/>
                <w:sz w:val="18"/>
                <w:szCs w:val="18"/>
                <w:lang w:eastAsia="en-GB"/>
              </w:rPr>
              <w:t>0.0001</w:t>
            </w:r>
          </w:p>
        </w:tc>
      </w:tr>
      <w:tr w:rsidR="00FE37DB" w:rsidRPr="00A20A17" w14:paraId="6A2EEE55" w14:textId="77777777" w:rsidTr="00A80B48">
        <w:trPr>
          <w:trHeight w:val="300"/>
        </w:trPr>
        <w:tc>
          <w:tcPr>
            <w:tcW w:w="1356" w:type="dxa"/>
            <w:noWrap/>
            <w:hideMark/>
          </w:tcPr>
          <w:p w14:paraId="70BD62AE" w14:textId="77777777" w:rsidR="00FE37DB" w:rsidRPr="00A20A17" w:rsidRDefault="00FE37DB" w:rsidP="00A80B48">
            <w:pPr>
              <w:spacing w:after="0" w:line="240" w:lineRule="auto"/>
              <w:rPr>
                <w:rFonts w:ascii="Calibri" w:eastAsia="Times New Roman" w:hAnsi="Calibri" w:cs="Calibri"/>
                <w:color w:val="000000"/>
                <w:sz w:val="18"/>
                <w:szCs w:val="18"/>
                <w:lang w:eastAsia="en-GB"/>
              </w:rPr>
            </w:pPr>
            <w:r w:rsidRPr="00A20A17">
              <w:rPr>
                <w:rFonts w:ascii="Calibri" w:eastAsia="Times New Roman" w:hAnsi="Calibri" w:cs="Calibri"/>
                <w:color w:val="000000"/>
                <w:sz w:val="18"/>
                <w:szCs w:val="18"/>
                <w:lang w:eastAsia="en-GB"/>
              </w:rPr>
              <w:t>Aged 10-14</w:t>
            </w:r>
          </w:p>
        </w:tc>
        <w:tc>
          <w:tcPr>
            <w:tcW w:w="939" w:type="dxa"/>
            <w:noWrap/>
            <w:hideMark/>
          </w:tcPr>
          <w:p w14:paraId="2C7F9271" w14:textId="77777777" w:rsidR="00FE37DB" w:rsidRPr="00A20A17" w:rsidRDefault="00FE37DB" w:rsidP="00A80B48">
            <w:pPr>
              <w:spacing w:after="0" w:line="240" w:lineRule="auto"/>
              <w:jc w:val="right"/>
              <w:rPr>
                <w:rFonts w:ascii="Calibri" w:eastAsia="Times New Roman" w:hAnsi="Calibri" w:cs="Calibri"/>
                <w:color w:val="000000"/>
                <w:sz w:val="18"/>
                <w:szCs w:val="18"/>
                <w:lang w:eastAsia="en-GB"/>
              </w:rPr>
            </w:pPr>
            <w:r w:rsidRPr="00A20A17">
              <w:rPr>
                <w:rFonts w:ascii="Calibri" w:eastAsia="Times New Roman" w:hAnsi="Calibri" w:cs="Calibri"/>
                <w:color w:val="000000"/>
                <w:sz w:val="18"/>
                <w:szCs w:val="18"/>
                <w:lang w:eastAsia="en-GB"/>
              </w:rPr>
              <w:t>0.0001</w:t>
            </w:r>
          </w:p>
        </w:tc>
        <w:tc>
          <w:tcPr>
            <w:tcW w:w="1386" w:type="dxa"/>
            <w:noWrap/>
            <w:hideMark/>
          </w:tcPr>
          <w:p w14:paraId="3521BBD0" w14:textId="77777777" w:rsidR="00FE37DB" w:rsidRPr="00A20A17" w:rsidRDefault="00FE37DB" w:rsidP="00A80B48">
            <w:pPr>
              <w:spacing w:after="0" w:line="240" w:lineRule="auto"/>
              <w:jc w:val="right"/>
              <w:rPr>
                <w:rFonts w:ascii="Calibri" w:eastAsia="Times New Roman" w:hAnsi="Calibri" w:cs="Calibri"/>
                <w:color w:val="000000"/>
                <w:sz w:val="18"/>
                <w:szCs w:val="18"/>
                <w:lang w:eastAsia="en-GB"/>
              </w:rPr>
            </w:pPr>
            <w:r w:rsidRPr="00A20A17">
              <w:rPr>
                <w:rFonts w:ascii="Calibri" w:eastAsia="Times New Roman" w:hAnsi="Calibri" w:cs="Calibri"/>
                <w:color w:val="000000"/>
                <w:sz w:val="18"/>
                <w:szCs w:val="18"/>
                <w:lang w:eastAsia="en-GB"/>
              </w:rPr>
              <w:t>0.0001</w:t>
            </w:r>
          </w:p>
        </w:tc>
      </w:tr>
      <w:tr w:rsidR="00FE37DB" w:rsidRPr="00A20A17" w14:paraId="047B22E7" w14:textId="77777777" w:rsidTr="00A80B48">
        <w:trPr>
          <w:trHeight w:val="300"/>
        </w:trPr>
        <w:tc>
          <w:tcPr>
            <w:tcW w:w="1356" w:type="dxa"/>
            <w:noWrap/>
            <w:hideMark/>
          </w:tcPr>
          <w:p w14:paraId="257A0F91" w14:textId="77777777" w:rsidR="00FE37DB" w:rsidRPr="00A20A17" w:rsidRDefault="00FE37DB" w:rsidP="00A80B48">
            <w:pPr>
              <w:spacing w:after="0" w:line="240" w:lineRule="auto"/>
              <w:rPr>
                <w:rFonts w:ascii="Calibri" w:eastAsia="Times New Roman" w:hAnsi="Calibri" w:cs="Calibri"/>
                <w:color w:val="000000"/>
                <w:sz w:val="18"/>
                <w:szCs w:val="18"/>
                <w:lang w:eastAsia="en-GB"/>
              </w:rPr>
            </w:pPr>
            <w:r w:rsidRPr="00A20A17">
              <w:rPr>
                <w:rFonts w:ascii="Calibri" w:eastAsia="Times New Roman" w:hAnsi="Calibri" w:cs="Calibri"/>
                <w:color w:val="000000"/>
                <w:sz w:val="18"/>
                <w:szCs w:val="18"/>
                <w:lang w:eastAsia="en-GB"/>
              </w:rPr>
              <w:t>Aged 15-19</w:t>
            </w:r>
          </w:p>
        </w:tc>
        <w:tc>
          <w:tcPr>
            <w:tcW w:w="939" w:type="dxa"/>
            <w:noWrap/>
            <w:hideMark/>
          </w:tcPr>
          <w:p w14:paraId="56B3FB9A" w14:textId="77777777" w:rsidR="00FE37DB" w:rsidRPr="00A20A17" w:rsidRDefault="00FE37DB" w:rsidP="00A80B48">
            <w:pPr>
              <w:spacing w:after="0" w:line="240" w:lineRule="auto"/>
              <w:jc w:val="right"/>
              <w:rPr>
                <w:rFonts w:ascii="Calibri" w:eastAsia="Times New Roman" w:hAnsi="Calibri" w:cs="Calibri"/>
                <w:color w:val="000000"/>
                <w:sz w:val="18"/>
                <w:szCs w:val="18"/>
                <w:lang w:eastAsia="en-GB"/>
              </w:rPr>
            </w:pPr>
            <w:r w:rsidRPr="00A20A17">
              <w:rPr>
                <w:rFonts w:ascii="Calibri" w:eastAsia="Times New Roman" w:hAnsi="Calibri" w:cs="Calibri"/>
                <w:color w:val="000000"/>
                <w:sz w:val="18"/>
                <w:szCs w:val="18"/>
                <w:lang w:eastAsia="en-GB"/>
              </w:rPr>
              <w:t>0.0003</w:t>
            </w:r>
          </w:p>
        </w:tc>
        <w:tc>
          <w:tcPr>
            <w:tcW w:w="1386" w:type="dxa"/>
            <w:noWrap/>
            <w:hideMark/>
          </w:tcPr>
          <w:p w14:paraId="51C81930" w14:textId="77777777" w:rsidR="00FE37DB" w:rsidRPr="00A20A17" w:rsidRDefault="00FE37DB" w:rsidP="00A80B48">
            <w:pPr>
              <w:spacing w:after="0" w:line="240" w:lineRule="auto"/>
              <w:jc w:val="right"/>
              <w:rPr>
                <w:rFonts w:ascii="Calibri" w:eastAsia="Times New Roman" w:hAnsi="Calibri" w:cs="Calibri"/>
                <w:color w:val="000000"/>
                <w:sz w:val="18"/>
                <w:szCs w:val="18"/>
                <w:lang w:eastAsia="en-GB"/>
              </w:rPr>
            </w:pPr>
            <w:r w:rsidRPr="00A20A17">
              <w:rPr>
                <w:rFonts w:ascii="Calibri" w:eastAsia="Times New Roman" w:hAnsi="Calibri" w:cs="Calibri"/>
                <w:color w:val="000000"/>
                <w:sz w:val="18"/>
                <w:szCs w:val="18"/>
                <w:lang w:eastAsia="en-GB"/>
              </w:rPr>
              <w:t>0.0001</w:t>
            </w:r>
          </w:p>
        </w:tc>
      </w:tr>
      <w:tr w:rsidR="00FE37DB" w:rsidRPr="00A20A17" w14:paraId="0F33C295" w14:textId="77777777" w:rsidTr="00A80B48">
        <w:trPr>
          <w:trHeight w:val="300"/>
        </w:trPr>
        <w:tc>
          <w:tcPr>
            <w:tcW w:w="1356" w:type="dxa"/>
            <w:noWrap/>
            <w:hideMark/>
          </w:tcPr>
          <w:p w14:paraId="02F6B0F1" w14:textId="77777777" w:rsidR="00FE37DB" w:rsidRPr="00A20A17" w:rsidRDefault="00FE37DB" w:rsidP="00A80B48">
            <w:pPr>
              <w:spacing w:after="0" w:line="240" w:lineRule="auto"/>
              <w:rPr>
                <w:rFonts w:ascii="Calibri" w:eastAsia="Times New Roman" w:hAnsi="Calibri" w:cs="Calibri"/>
                <w:color w:val="000000"/>
                <w:sz w:val="18"/>
                <w:szCs w:val="18"/>
                <w:lang w:eastAsia="en-GB"/>
              </w:rPr>
            </w:pPr>
            <w:r w:rsidRPr="00A20A17">
              <w:rPr>
                <w:rFonts w:ascii="Calibri" w:eastAsia="Times New Roman" w:hAnsi="Calibri" w:cs="Calibri"/>
                <w:color w:val="000000"/>
                <w:sz w:val="18"/>
                <w:szCs w:val="18"/>
                <w:lang w:eastAsia="en-GB"/>
              </w:rPr>
              <w:t>Aged 20-24</w:t>
            </w:r>
          </w:p>
        </w:tc>
        <w:tc>
          <w:tcPr>
            <w:tcW w:w="939" w:type="dxa"/>
            <w:noWrap/>
            <w:hideMark/>
          </w:tcPr>
          <w:p w14:paraId="4CEEC9CB" w14:textId="77777777" w:rsidR="00FE37DB" w:rsidRPr="00A20A17" w:rsidRDefault="00FE37DB" w:rsidP="00A80B48">
            <w:pPr>
              <w:spacing w:after="0" w:line="240" w:lineRule="auto"/>
              <w:jc w:val="right"/>
              <w:rPr>
                <w:rFonts w:ascii="Calibri" w:eastAsia="Times New Roman" w:hAnsi="Calibri" w:cs="Calibri"/>
                <w:color w:val="000000"/>
                <w:sz w:val="18"/>
                <w:szCs w:val="18"/>
                <w:lang w:eastAsia="en-GB"/>
              </w:rPr>
            </w:pPr>
            <w:r w:rsidRPr="00A20A17">
              <w:rPr>
                <w:rFonts w:ascii="Calibri" w:eastAsia="Times New Roman" w:hAnsi="Calibri" w:cs="Calibri"/>
                <w:color w:val="000000"/>
                <w:sz w:val="18"/>
                <w:szCs w:val="18"/>
                <w:lang w:eastAsia="en-GB"/>
              </w:rPr>
              <w:t>0.0004</w:t>
            </w:r>
          </w:p>
        </w:tc>
        <w:tc>
          <w:tcPr>
            <w:tcW w:w="1386" w:type="dxa"/>
            <w:noWrap/>
            <w:hideMark/>
          </w:tcPr>
          <w:p w14:paraId="7FC04C15" w14:textId="77777777" w:rsidR="00FE37DB" w:rsidRPr="00A20A17" w:rsidRDefault="00FE37DB" w:rsidP="00A80B48">
            <w:pPr>
              <w:spacing w:after="0" w:line="240" w:lineRule="auto"/>
              <w:jc w:val="right"/>
              <w:rPr>
                <w:rFonts w:ascii="Calibri" w:eastAsia="Times New Roman" w:hAnsi="Calibri" w:cs="Calibri"/>
                <w:color w:val="000000"/>
                <w:sz w:val="18"/>
                <w:szCs w:val="18"/>
                <w:lang w:eastAsia="en-GB"/>
              </w:rPr>
            </w:pPr>
            <w:r w:rsidRPr="00A20A17">
              <w:rPr>
                <w:rFonts w:ascii="Calibri" w:eastAsia="Times New Roman" w:hAnsi="Calibri" w:cs="Calibri"/>
                <w:color w:val="000000"/>
                <w:sz w:val="18"/>
                <w:szCs w:val="18"/>
                <w:lang w:eastAsia="en-GB"/>
              </w:rPr>
              <w:t>0.0002</w:t>
            </w:r>
          </w:p>
        </w:tc>
      </w:tr>
      <w:tr w:rsidR="00FE37DB" w:rsidRPr="00A20A17" w14:paraId="3F46FA7C" w14:textId="77777777" w:rsidTr="00A80B48">
        <w:trPr>
          <w:trHeight w:val="300"/>
        </w:trPr>
        <w:tc>
          <w:tcPr>
            <w:tcW w:w="1356" w:type="dxa"/>
            <w:noWrap/>
            <w:hideMark/>
          </w:tcPr>
          <w:p w14:paraId="4FBC98D5" w14:textId="77777777" w:rsidR="00FE37DB" w:rsidRPr="00A20A17" w:rsidRDefault="00FE37DB" w:rsidP="00A80B48">
            <w:pPr>
              <w:spacing w:after="0" w:line="240" w:lineRule="auto"/>
              <w:rPr>
                <w:rFonts w:ascii="Calibri" w:eastAsia="Times New Roman" w:hAnsi="Calibri" w:cs="Calibri"/>
                <w:color w:val="000000"/>
                <w:sz w:val="18"/>
                <w:szCs w:val="18"/>
                <w:lang w:eastAsia="en-GB"/>
              </w:rPr>
            </w:pPr>
            <w:r w:rsidRPr="00A20A17">
              <w:rPr>
                <w:rFonts w:ascii="Calibri" w:eastAsia="Times New Roman" w:hAnsi="Calibri" w:cs="Calibri"/>
                <w:color w:val="000000"/>
                <w:sz w:val="18"/>
                <w:szCs w:val="18"/>
                <w:lang w:eastAsia="en-GB"/>
              </w:rPr>
              <w:t>Aged 25-29</w:t>
            </w:r>
          </w:p>
        </w:tc>
        <w:tc>
          <w:tcPr>
            <w:tcW w:w="939" w:type="dxa"/>
            <w:noWrap/>
            <w:hideMark/>
          </w:tcPr>
          <w:p w14:paraId="114000E5" w14:textId="77777777" w:rsidR="00FE37DB" w:rsidRPr="00A20A17" w:rsidRDefault="00FE37DB" w:rsidP="00A80B48">
            <w:pPr>
              <w:spacing w:after="0" w:line="240" w:lineRule="auto"/>
              <w:jc w:val="right"/>
              <w:rPr>
                <w:rFonts w:ascii="Calibri" w:eastAsia="Times New Roman" w:hAnsi="Calibri" w:cs="Calibri"/>
                <w:color w:val="000000"/>
                <w:sz w:val="18"/>
                <w:szCs w:val="18"/>
                <w:lang w:eastAsia="en-GB"/>
              </w:rPr>
            </w:pPr>
            <w:r w:rsidRPr="00A20A17">
              <w:rPr>
                <w:rFonts w:ascii="Calibri" w:eastAsia="Times New Roman" w:hAnsi="Calibri" w:cs="Calibri"/>
                <w:color w:val="000000"/>
                <w:sz w:val="18"/>
                <w:szCs w:val="18"/>
                <w:lang w:eastAsia="en-GB"/>
              </w:rPr>
              <w:t>0.0005</w:t>
            </w:r>
          </w:p>
        </w:tc>
        <w:tc>
          <w:tcPr>
            <w:tcW w:w="1386" w:type="dxa"/>
            <w:noWrap/>
            <w:hideMark/>
          </w:tcPr>
          <w:p w14:paraId="5F6EF8AD" w14:textId="77777777" w:rsidR="00FE37DB" w:rsidRPr="00A20A17" w:rsidRDefault="00FE37DB" w:rsidP="00A80B48">
            <w:pPr>
              <w:spacing w:after="0" w:line="240" w:lineRule="auto"/>
              <w:jc w:val="right"/>
              <w:rPr>
                <w:rFonts w:ascii="Calibri" w:eastAsia="Times New Roman" w:hAnsi="Calibri" w:cs="Calibri"/>
                <w:color w:val="000000"/>
                <w:sz w:val="18"/>
                <w:szCs w:val="18"/>
                <w:lang w:eastAsia="en-GB"/>
              </w:rPr>
            </w:pPr>
            <w:r w:rsidRPr="00A20A17">
              <w:rPr>
                <w:rFonts w:ascii="Calibri" w:eastAsia="Times New Roman" w:hAnsi="Calibri" w:cs="Calibri"/>
                <w:color w:val="000000"/>
                <w:sz w:val="18"/>
                <w:szCs w:val="18"/>
                <w:lang w:eastAsia="en-GB"/>
              </w:rPr>
              <w:t>0.0003</w:t>
            </w:r>
          </w:p>
        </w:tc>
      </w:tr>
      <w:tr w:rsidR="00FE37DB" w:rsidRPr="00A20A17" w14:paraId="15E10A49" w14:textId="77777777" w:rsidTr="00A80B48">
        <w:trPr>
          <w:trHeight w:val="300"/>
        </w:trPr>
        <w:tc>
          <w:tcPr>
            <w:tcW w:w="1356" w:type="dxa"/>
            <w:noWrap/>
            <w:hideMark/>
          </w:tcPr>
          <w:p w14:paraId="210447A2" w14:textId="77777777" w:rsidR="00FE37DB" w:rsidRPr="00A20A17" w:rsidRDefault="00FE37DB" w:rsidP="00A80B48">
            <w:pPr>
              <w:spacing w:after="0" w:line="240" w:lineRule="auto"/>
              <w:rPr>
                <w:rFonts w:ascii="Calibri" w:eastAsia="Times New Roman" w:hAnsi="Calibri" w:cs="Calibri"/>
                <w:color w:val="000000"/>
                <w:sz w:val="18"/>
                <w:szCs w:val="18"/>
                <w:lang w:eastAsia="en-GB"/>
              </w:rPr>
            </w:pPr>
            <w:r w:rsidRPr="00A20A17">
              <w:rPr>
                <w:rFonts w:ascii="Calibri" w:eastAsia="Times New Roman" w:hAnsi="Calibri" w:cs="Calibri"/>
                <w:color w:val="000000"/>
                <w:sz w:val="18"/>
                <w:szCs w:val="18"/>
                <w:lang w:eastAsia="en-GB"/>
              </w:rPr>
              <w:t>Aged 30-34</w:t>
            </w:r>
          </w:p>
        </w:tc>
        <w:tc>
          <w:tcPr>
            <w:tcW w:w="939" w:type="dxa"/>
            <w:noWrap/>
            <w:hideMark/>
          </w:tcPr>
          <w:p w14:paraId="3C3CCA7F" w14:textId="77777777" w:rsidR="00FE37DB" w:rsidRPr="00A20A17" w:rsidRDefault="00FE37DB" w:rsidP="00A80B48">
            <w:pPr>
              <w:spacing w:after="0" w:line="240" w:lineRule="auto"/>
              <w:jc w:val="right"/>
              <w:rPr>
                <w:rFonts w:ascii="Calibri" w:eastAsia="Times New Roman" w:hAnsi="Calibri" w:cs="Calibri"/>
                <w:color w:val="000000"/>
                <w:sz w:val="18"/>
                <w:szCs w:val="18"/>
                <w:lang w:eastAsia="en-GB"/>
              </w:rPr>
            </w:pPr>
            <w:r w:rsidRPr="00A20A17">
              <w:rPr>
                <w:rFonts w:ascii="Calibri" w:eastAsia="Times New Roman" w:hAnsi="Calibri" w:cs="Calibri"/>
                <w:color w:val="000000"/>
                <w:sz w:val="18"/>
                <w:szCs w:val="18"/>
                <w:lang w:eastAsia="en-GB"/>
              </w:rPr>
              <w:t>0.0007</w:t>
            </w:r>
          </w:p>
        </w:tc>
        <w:tc>
          <w:tcPr>
            <w:tcW w:w="1386" w:type="dxa"/>
            <w:noWrap/>
            <w:hideMark/>
          </w:tcPr>
          <w:p w14:paraId="03315045" w14:textId="77777777" w:rsidR="00FE37DB" w:rsidRPr="00A20A17" w:rsidRDefault="00FE37DB" w:rsidP="00A80B48">
            <w:pPr>
              <w:spacing w:after="0" w:line="240" w:lineRule="auto"/>
              <w:jc w:val="right"/>
              <w:rPr>
                <w:rFonts w:ascii="Calibri" w:eastAsia="Times New Roman" w:hAnsi="Calibri" w:cs="Calibri"/>
                <w:color w:val="000000"/>
                <w:sz w:val="18"/>
                <w:szCs w:val="18"/>
                <w:lang w:eastAsia="en-GB"/>
              </w:rPr>
            </w:pPr>
            <w:r w:rsidRPr="00A20A17">
              <w:rPr>
                <w:rFonts w:ascii="Calibri" w:eastAsia="Times New Roman" w:hAnsi="Calibri" w:cs="Calibri"/>
                <w:color w:val="000000"/>
                <w:sz w:val="18"/>
                <w:szCs w:val="18"/>
                <w:lang w:eastAsia="en-GB"/>
              </w:rPr>
              <w:t>0.0004</w:t>
            </w:r>
          </w:p>
        </w:tc>
      </w:tr>
      <w:tr w:rsidR="00FE37DB" w:rsidRPr="00A20A17" w14:paraId="4DC63469" w14:textId="77777777" w:rsidTr="00A80B48">
        <w:trPr>
          <w:trHeight w:val="300"/>
        </w:trPr>
        <w:tc>
          <w:tcPr>
            <w:tcW w:w="1356" w:type="dxa"/>
            <w:noWrap/>
            <w:hideMark/>
          </w:tcPr>
          <w:p w14:paraId="7554543B" w14:textId="77777777" w:rsidR="00FE37DB" w:rsidRPr="00A20A17" w:rsidRDefault="00FE37DB" w:rsidP="00A80B48">
            <w:pPr>
              <w:spacing w:after="0" w:line="240" w:lineRule="auto"/>
              <w:rPr>
                <w:rFonts w:ascii="Calibri" w:eastAsia="Times New Roman" w:hAnsi="Calibri" w:cs="Calibri"/>
                <w:color w:val="000000"/>
                <w:sz w:val="18"/>
                <w:szCs w:val="18"/>
                <w:lang w:eastAsia="en-GB"/>
              </w:rPr>
            </w:pPr>
            <w:r w:rsidRPr="00A20A17">
              <w:rPr>
                <w:rFonts w:ascii="Calibri" w:eastAsia="Times New Roman" w:hAnsi="Calibri" w:cs="Calibri"/>
                <w:color w:val="000000"/>
                <w:sz w:val="18"/>
                <w:szCs w:val="18"/>
                <w:lang w:eastAsia="en-GB"/>
              </w:rPr>
              <w:t>Aged 35-39</w:t>
            </w:r>
          </w:p>
        </w:tc>
        <w:tc>
          <w:tcPr>
            <w:tcW w:w="939" w:type="dxa"/>
            <w:noWrap/>
            <w:hideMark/>
          </w:tcPr>
          <w:p w14:paraId="3F3057BD" w14:textId="77777777" w:rsidR="00FE37DB" w:rsidRPr="00A20A17" w:rsidRDefault="00FE37DB" w:rsidP="00A80B48">
            <w:pPr>
              <w:spacing w:after="0" w:line="240" w:lineRule="auto"/>
              <w:jc w:val="right"/>
              <w:rPr>
                <w:rFonts w:ascii="Calibri" w:eastAsia="Times New Roman" w:hAnsi="Calibri" w:cs="Calibri"/>
                <w:color w:val="000000"/>
                <w:sz w:val="18"/>
                <w:szCs w:val="18"/>
                <w:lang w:eastAsia="en-GB"/>
              </w:rPr>
            </w:pPr>
            <w:r w:rsidRPr="00A20A17">
              <w:rPr>
                <w:rFonts w:ascii="Calibri" w:eastAsia="Times New Roman" w:hAnsi="Calibri" w:cs="Calibri"/>
                <w:color w:val="000000"/>
                <w:sz w:val="18"/>
                <w:szCs w:val="18"/>
                <w:lang w:eastAsia="en-GB"/>
              </w:rPr>
              <w:t>0.0009</w:t>
            </w:r>
          </w:p>
        </w:tc>
        <w:tc>
          <w:tcPr>
            <w:tcW w:w="1386" w:type="dxa"/>
            <w:noWrap/>
            <w:hideMark/>
          </w:tcPr>
          <w:p w14:paraId="3CA2D4B0" w14:textId="77777777" w:rsidR="00FE37DB" w:rsidRPr="00A20A17" w:rsidRDefault="00FE37DB" w:rsidP="00A80B48">
            <w:pPr>
              <w:spacing w:after="0" w:line="240" w:lineRule="auto"/>
              <w:jc w:val="right"/>
              <w:rPr>
                <w:rFonts w:ascii="Calibri" w:eastAsia="Times New Roman" w:hAnsi="Calibri" w:cs="Calibri"/>
                <w:color w:val="000000"/>
                <w:sz w:val="18"/>
                <w:szCs w:val="18"/>
                <w:lang w:eastAsia="en-GB"/>
              </w:rPr>
            </w:pPr>
            <w:r w:rsidRPr="00A20A17">
              <w:rPr>
                <w:rFonts w:ascii="Calibri" w:eastAsia="Times New Roman" w:hAnsi="Calibri" w:cs="Calibri"/>
                <w:color w:val="000000"/>
                <w:sz w:val="18"/>
                <w:szCs w:val="18"/>
                <w:lang w:eastAsia="en-GB"/>
              </w:rPr>
              <w:t>0.0006</w:t>
            </w:r>
          </w:p>
        </w:tc>
      </w:tr>
      <w:tr w:rsidR="00FE37DB" w:rsidRPr="00A20A17" w14:paraId="69DEA609" w14:textId="77777777" w:rsidTr="00A80B48">
        <w:trPr>
          <w:trHeight w:val="300"/>
        </w:trPr>
        <w:tc>
          <w:tcPr>
            <w:tcW w:w="1356" w:type="dxa"/>
            <w:noWrap/>
            <w:hideMark/>
          </w:tcPr>
          <w:p w14:paraId="47D57D21" w14:textId="77777777" w:rsidR="00FE37DB" w:rsidRPr="00A20A17" w:rsidRDefault="00FE37DB" w:rsidP="00A80B48">
            <w:pPr>
              <w:spacing w:after="0" w:line="240" w:lineRule="auto"/>
              <w:rPr>
                <w:rFonts w:ascii="Calibri" w:eastAsia="Times New Roman" w:hAnsi="Calibri" w:cs="Calibri"/>
                <w:color w:val="000000"/>
                <w:sz w:val="18"/>
                <w:szCs w:val="18"/>
                <w:lang w:eastAsia="en-GB"/>
              </w:rPr>
            </w:pPr>
            <w:r w:rsidRPr="00A20A17">
              <w:rPr>
                <w:rFonts w:ascii="Calibri" w:eastAsia="Times New Roman" w:hAnsi="Calibri" w:cs="Calibri"/>
                <w:color w:val="000000"/>
                <w:sz w:val="18"/>
                <w:szCs w:val="18"/>
                <w:lang w:eastAsia="en-GB"/>
              </w:rPr>
              <w:t>Aged 40-44</w:t>
            </w:r>
          </w:p>
        </w:tc>
        <w:tc>
          <w:tcPr>
            <w:tcW w:w="939" w:type="dxa"/>
            <w:noWrap/>
            <w:hideMark/>
          </w:tcPr>
          <w:p w14:paraId="642E44C9" w14:textId="77777777" w:rsidR="00FE37DB" w:rsidRPr="00A20A17" w:rsidRDefault="00FE37DB" w:rsidP="00A80B48">
            <w:pPr>
              <w:spacing w:after="0" w:line="240" w:lineRule="auto"/>
              <w:jc w:val="right"/>
              <w:rPr>
                <w:rFonts w:ascii="Calibri" w:eastAsia="Times New Roman" w:hAnsi="Calibri" w:cs="Calibri"/>
                <w:color w:val="000000"/>
                <w:sz w:val="18"/>
                <w:szCs w:val="18"/>
                <w:lang w:eastAsia="en-GB"/>
              </w:rPr>
            </w:pPr>
            <w:r w:rsidRPr="00A20A17">
              <w:rPr>
                <w:rFonts w:ascii="Calibri" w:eastAsia="Times New Roman" w:hAnsi="Calibri" w:cs="Calibri"/>
                <w:color w:val="000000"/>
                <w:sz w:val="18"/>
                <w:szCs w:val="18"/>
                <w:lang w:eastAsia="en-GB"/>
              </w:rPr>
              <w:t>0.0012</w:t>
            </w:r>
          </w:p>
        </w:tc>
        <w:tc>
          <w:tcPr>
            <w:tcW w:w="1386" w:type="dxa"/>
            <w:noWrap/>
            <w:hideMark/>
          </w:tcPr>
          <w:p w14:paraId="5E11BF24" w14:textId="77777777" w:rsidR="00FE37DB" w:rsidRPr="00A20A17" w:rsidRDefault="00FE37DB" w:rsidP="00A80B48">
            <w:pPr>
              <w:spacing w:after="0" w:line="240" w:lineRule="auto"/>
              <w:jc w:val="right"/>
              <w:rPr>
                <w:rFonts w:ascii="Calibri" w:eastAsia="Times New Roman" w:hAnsi="Calibri" w:cs="Calibri"/>
                <w:color w:val="000000"/>
                <w:sz w:val="18"/>
                <w:szCs w:val="18"/>
                <w:lang w:eastAsia="en-GB"/>
              </w:rPr>
            </w:pPr>
            <w:r w:rsidRPr="00A20A17">
              <w:rPr>
                <w:rFonts w:ascii="Calibri" w:eastAsia="Times New Roman" w:hAnsi="Calibri" w:cs="Calibri"/>
                <w:color w:val="000000"/>
                <w:sz w:val="18"/>
                <w:szCs w:val="18"/>
                <w:lang w:eastAsia="en-GB"/>
              </w:rPr>
              <w:t>0.0008</w:t>
            </w:r>
          </w:p>
        </w:tc>
      </w:tr>
      <w:tr w:rsidR="00FE37DB" w:rsidRPr="00A20A17" w14:paraId="49AA51D9" w14:textId="77777777" w:rsidTr="00A80B48">
        <w:trPr>
          <w:trHeight w:val="300"/>
        </w:trPr>
        <w:tc>
          <w:tcPr>
            <w:tcW w:w="1356" w:type="dxa"/>
            <w:noWrap/>
            <w:hideMark/>
          </w:tcPr>
          <w:p w14:paraId="1D949EEF" w14:textId="77777777" w:rsidR="00FE37DB" w:rsidRPr="00A20A17" w:rsidRDefault="00FE37DB" w:rsidP="00A80B48">
            <w:pPr>
              <w:spacing w:after="0" w:line="240" w:lineRule="auto"/>
              <w:rPr>
                <w:rFonts w:ascii="Calibri" w:eastAsia="Times New Roman" w:hAnsi="Calibri" w:cs="Calibri"/>
                <w:color w:val="000000"/>
                <w:sz w:val="18"/>
                <w:szCs w:val="18"/>
                <w:lang w:eastAsia="en-GB"/>
              </w:rPr>
            </w:pPr>
            <w:r w:rsidRPr="00A20A17">
              <w:rPr>
                <w:rFonts w:ascii="Calibri" w:eastAsia="Times New Roman" w:hAnsi="Calibri" w:cs="Calibri"/>
                <w:color w:val="000000"/>
                <w:sz w:val="18"/>
                <w:szCs w:val="18"/>
                <w:lang w:eastAsia="en-GB"/>
              </w:rPr>
              <w:t>Aged 45-49</w:t>
            </w:r>
          </w:p>
        </w:tc>
        <w:tc>
          <w:tcPr>
            <w:tcW w:w="939" w:type="dxa"/>
            <w:noWrap/>
            <w:hideMark/>
          </w:tcPr>
          <w:p w14:paraId="69A1ED5F" w14:textId="77777777" w:rsidR="00FE37DB" w:rsidRPr="00A20A17" w:rsidRDefault="00FE37DB" w:rsidP="00A80B48">
            <w:pPr>
              <w:spacing w:after="0" w:line="240" w:lineRule="auto"/>
              <w:jc w:val="right"/>
              <w:rPr>
                <w:rFonts w:ascii="Calibri" w:eastAsia="Times New Roman" w:hAnsi="Calibri" w:cs="Calibri"/>
                <w:color w:val="000000"/>
                <w:sz w:val="18"/>
                <w:szCs w:val="18"/>
                <w:lang w:eastAsia="en-GB"/>
              </w:rPr>
            </w:pPr>
            <w:r w:rsidRPr="00A20A17">
              <w:rPr>
                <w:rFonts w:ascii="Calibri" w:eastAsia="Times New Roman" w:hAnsi="Calibri" w:cs="Calibri"/>
                <w:color w:val="000000"/>
                <w:sz w:val="18"/>
                <w:szCs w:val="18"/>
                <w:lang w:eastAsia="en-GB"/>
              </w:rPr>
              <w:t>0.0016</w:t>
            </w:r>
          </w:p>
        </w:tc>
        <w:tc>
          <w:tcPr>
            <w:tcW w:w="1386" w:type="dxa"/>
            <w:noWrap/>
            <w:hideMark/>
          </w:tcPr>
          <w:p w14:paraId="041C3859" w14:textId="77777777" w:rsidR="00FE37DB" w:rsidRPr="00A20A17" w:rsidRDefault="00FE37DB" w:rsidP="00A80B48">
            <w:pPr>
              <w:spacing w:after="0" w:line="240" w:lineRule="auto"/>
              <w:jc w:val="right"/>
              <w:rPr>
                <w:rFonts w:ascii="Calibri" w:eastAsia="Times New Roman" w:hAnsi="Calibri" w:cs="Calibri"/>
                <w:color w:val="000000"/>
                <w:sz w:val="18"/>
                <w:szCs w:val="18"/>
                <w:lang w:eastAsia="en-GB"/>
              </w:rPr>
            </w:pPr>
            <w:r w:rsidRPr="00A20A17">
              <w:rPr>
                <w:rFonts w:ascii="Calibri" w:eastAsia="Times New Roman" w:hAnsi="Calibri" w:cs="Calibri"/>
                <w:color w:val="000000"/>
                <w:sz w:val="18"/>
                <w:szCs w:val="18"/>
                <w:lang w:eastAsia="en-GB"/>
              </w:rPr>
              <w:t>0.0013</w:t>
            </w:r>
          </w:p>
        </w:tc>
      </w:tr>
      <w:tr w:rsidR="00FE37DB" w:rsidRPr="00A20A17" w14:paraId="57554019" w14:textId="77777777" w:rsidTr="00A80B48">
        <w:trPr>
          <w:trHeight w:val="300"/>
        </w:trPr>
        <w:tc>
          <w:tcPr>
            <w:tcW w:w="1356" w:type="dxa"/>
            <w:noWrap/>
            <w:hideMark/>
          </w:tcPr>
          <w:p w14:paraId="2612CF6B" w14:textId="77777777" w:rsidR="00FE37DB" w:rsidRPr="00A20A17" w:rsidRDefault="00FE37DB" w:rsidP="00A80B48">
            <w:pPr>
              <w:spacing w:after="0" w:line="240" w:lineRule="auto"/>
              <w:rPr>
                <w:rFonts w:ascii="Calibri" w:eastAsia="Times New Roman" w:hAnsi="Calibri" w:cs="Calibri"/>
                <w:color w:val="000000"/>
                <w:sz w:val="18"/>
                <w:szCs w:val="18"/>
                <w:lang w:eastAsia="en-GB"/>
              </w:rPr>
            </w:pPr>
            <w:r w:rsidRPr="00A20A17">
              <w:rPr>
                <w:rFonts w:ascii="Calibri" w:eastAsia="Times New Roman" w:hAnsi="Calibri" w:cs="Calibri"/>
                <w:color w:val="000000"/>
                <w:sz w:val="18"/>
                <w:szCs w:val="18"/>
                <w:lang w:eastAsia="en-GB"/>
              </w:rPr>
              <w:t>Aged 50-54</w:t>
            </w:r>
          </w:p>
        </w:tc>
        <w:tc>
          <w:tcPr>
            <w:tcW w:w="939" w:type="dxa"/>
            <w:noWrap/>
            <w:hideMark/>
          </w:tcPr>
          <w:p w14:paraId="3AAC10B1" w14:textId="77777777" w:rsidR="00FE37DB" w:rsidRPr="00A20A17" w:rsidRDefault="00FE37DB" w:rsidP="00A80B48">
            <w:pPr>
              <w:spacing w:after="0" w:line="240" w:lineRule="auto"/>
              <w:jc w:val="right"/>
              <w:rPr>
                <w:rFonts w:ascii="Calibri" w:eastAsia="Times New Roman" w:hAnsi="Calibri" w:cs="Calibri"/>
                <w:color w:val="000000"/>
                <w:sz w:val="18"/>
                <w:szCs w:val="18"/>
                <w:lang w:eastAsia="en-GB"/>
              </w:rPr>
            </w:pPr>
            <w:r w:rsidRPr="00A20A17">
              <w:rPr>
                <w:rFonts w:ascii="Calibri" w:eastAsia="Times New Roman" w:hAnsi="Calibri" w:cs="Calibri"/>
                <w:color w:val="000000"/>
                <w:sz w:val="18"/>
                <w:szCs w:val="18"/>
                <w:lang w:eastAsia="en-GB"/>
              </w:rPr>
              <w:t>0.0021</w:t>
            </w:r>
          </w:p>
        </w:tc>
        <w:tc>
          <w:tcPr>
            <w:tcW w:w="1386" w:type="dxa"/>
            <w:noWrap/>
            <w:hideMark/>
          </w:tcPr>
          <w:p w14:paraId="76092173" w14:textId="77777777" w:rsidR="00FE37DB" w:rsidRPr="00A20A17" w:rsidRDefault="00FE37DB" w:rsidP="00A80B48">
            <w:pPr>
              <w:spacing w:after="0" w:line="240" w:lineRule="auto"/>
              <w:jc w:val="right"/>
              <w:rPr>
                <w:rFonts w:ascii="Calibri" w:eastAsia="Times New Roman" w:hAnsi="Calibri" w:cs="Calibri"/>
                <w:color w:val="000000"/>
                <w:sz w:val="18"/>
                <w:szCs w:val="18"/>
                <w:lang w:eastAsia="en-GB"/>
              </w:rPr>
            </w:pPr>
            <w:r w:rsidRPr="00A20A17">
              <w:rPr>
                <w:rFonts w:ascii="Calibri" w:eastAsia="Times New Roman" w:hAnsi="Calibri" w:cs="Calibri"/>
                <w:color w:val="000000"/>
                <w:sz w:val="18"/>
                <w:szCs w:val="18"/>
                <w:lang w:eastAsia="en-GB"/>
              </w:rPr>
              <w:t>0.0018</w:t>
            </w:r>
          </w:p>
        </w:tc>
      </w:tr>
      <w:tr w:rsidR="00FE37DB" w:rsidRPr="00A20A17" w14:paraId="58031CD1" w14:textId="77777777" w:rsidTr="00A80B48">
        <w:trPr>
          <w:trHeight w:val="300"/>
        </w:trPr>
        <w:tc>
          <w:tcPr>
            <w:tcW w:w="1356" w:type="dxa"/>
            <w:noWrap/>
            <w:hideMark/>
          </w:tcPr>
          <w:p w14:paraId="7C88DAB7" w14:textId="77777777" w:rsidR="00FE37DB" w:rsidRPr="00A20A17" w:rsidRDefault="00FE37DB" w:rsidP="00A80B48">
            <w:pPr>
              <w:spacing w:after="0" w:line="240" w:lineRule="auto"/>
              <w:rPr>
                <w:rFonts w:ascii="Calibri" w:eastAsia="Times New Roman" w:hAnsi="Calibri" w:cs="Calibri"/>
                <w:color w:val="000000"/>
                <w:sz w:val="18"/>
                <w:szCs w:val="18"/>
                <w:lang w:eastAsia="en-GB"/>
              </w:rPr>
            </w:pPr>
            <w:r w:rsidRPr="00A20A17">
              <w:rPr>
                <w:rFonts w:ascii="Calibri" w:eastAsia="Times New Roman" w:hAnsi="Calibri" w:cs="Calibri"/>
                <w:color w:val="000000"/>
                <w:sz w:val="18"/>
                <w:szCs w:val="18"/>
                <w:lang w:eastAsia="en-GB"/>
              </w:rPr>
              <w:t>Aged 55-59</w:t>
            </w:r>
          </w:p>
        </w:tc>
        <w:tc>
          <w:tcPr>
            <w:tcW w:w="939" w:type="dxa"/>
            <w:noWrap/>
            <w:hideMark/>
          </w:tcPr>
          <w:p w14:paraId="293BA44E" w14:textId="77777777" w:rsidR="00FE37DB" w:rsidRPr="00A20A17" w:rsidRDefault="00FE37DB" w:rsidP="00A80B48">
            <w:pPr>
              <w:spacing w:after="0" w:line="240" w:lineRule="auto"/>
              <w:jc w:val="right"/>
              <w:rPr>
                <w:rFonts w:ascii="Calibri" w:eastAsia="Times New Roman" w:hAnsi="Calibri" w:cs="Calibri"/>
                <w:color w:val="000000"/>
                <w:sz w:val="18"/>
                <w:szCs w:val="18"/>
                <w:lang w:eastAsia="en-GB"/>
              </w:rPr>
            </w:pPr>
            <w:r w:rsidRPr="00A20A17">
              <w:rPr>
                <w:rFonts w:ascii="Calibri" w:eastAsia="Times New Roman" w:hAnsi="Calibri" w:cs="Calibri"/>
                <w:color w:val="000000"/>
                <w:sz w:val="18"/>
                <w:szCs w:val="18"/>
                <w:lang w:eastAsia="en-GB"/>
              </w:rPr>
              <w:t>0.0029</w:t>
            </w:r>
          </w:p>
        </w:tc>
        <w:tc>
          <w:tcPr>
            <w:tcW w:w="1386" w:type="dxa"/>
            <w:noWrap/>
            <w:hideMark/>
          </w:tcPr>
          <w:p w14:paraId="701B07B2" w14:textId="77777777" w:rsidR="00FE37DB" w:rsidRPr="00A20A17" w:rsidRDefault="00FE37DB" w:rsidP="00A80B48">
            <w:pPr>
              <w:spacing w:after="0" w:line="240" w:lineRule="auto"/>
              <w:jc w:val="right"/>
              <w:rPr>
                <w:rFonts w:ascii="Calibri" w:eastAsia="Times New Roman" w:hAnsi="Calibri" w:cs="Calibri"/>
                <w:color w:val="000000"/>
                <w:sz w:val="18"/>
                <w:szCs w:val="18"/>
                <w:lang w:eastAsia="en-GB"/>
              </w:rPr>
            </w:pPr>
            <w:r w:rsidRPr="00A20A17">
              <w:rPr>
                <w:rFonts w:ascii="Calibri" w:eastAsia="Times New Roman" w:hAnsi="Calibri" w:cs="Calibri"/>
                <w:color w:val="000000"/>
                <w:sz w:val="18"/>
                <w:szCs w:val="18"/>
                <w:lang w:eastAsia="en-GB"/>
              </w:rPr>
              <w:t>0.0027</w:t>
            </w:r>
          </w:p>
        </w:tc>
      </w:tr>
      <w:tr w:rsidR="00FE37DB" w:rsidRPr="00A20A17" w14:paraId="2EF82924" w14:textId="77777777" w:rsidTr="00A80B48">
        <w:trPr>
          <w:trHeight w:val="300"/>
        </w:trPr>
        <w:tc>
          <w:tcPr>
            <w:tcW w:w="1356" w:type="dxa"/>
            <w:noWrap/>
            <w:hideMark/>
          </w:tcPr>
          <w:p w14:paraId="0A756029" w14:textId="77777777" w:rsidR="00FE37DB" w:rsidRPr="00A20A17" w:rsidRDefault="00FE37DB" w:rsidP="00A80B48">
            <w:pPr>
              <w:spacing w:after="0" w:line="240" w:lineRule="auto"/>
              <w:rPr>
                <w:rFonts w:ascii="Calibri" w:eastAsia="Times New Roman" w:hAnsi="Calibri" w:cs="Calibri"/>
                <w:color w:val="000000"/>
                <w:sz w:val="18"/>
                <w:szCs w:val="18"/>
                <w:lang w:eastAsia="en-GB"/>
              </w:rPr>
            </w:pPr>
            <w:r w:rsidRPr="00A20A17">
              <w:rPr>
                <w:rFonts w:ascii="Calibri" w:eastAsia="Times New Roman" w:hAnsi="Calibri" w:cs="Calibri"/>
                <w:color w:val="000000"/>
                <w:sz w:val="18"/>
                <w:szCs w:val="18"/>
                <w:lang w:eastAsia="en-GB"/>
              </w:rPr>
              <w:t>Aged 60-64</w:t>
            </w:r>
          </w:p>
        </w:tc>
        <w:tc>
          <w:tcPr>
            <w:tcW w:w="939" w:type="dxa"/>
            <w:noWrap/>
            <w:hideMark/>
          </w:tcPr>
          <w:p w14:paraId="53F6BD64" w14:textId="77777777" w:rsidR="00FE37DB" w:rsidRPr="00A20A17" w:rsidRDefault="00FE37DB" w:rsidP="00A80B48">
            <w:pPr>
              <w:spacing w:after="0" w:line="240" w:lineRule="auto"/>
              <w:jc w:val="right"/>
              <w:rPr>
                <w:rFonts w:ascii="Calibri" w:eastAsia="Times New Roman" w:hAnsi="Calibri" w:cs="Calibri"/>
                <w:color w:val="000000"/>
                <w:sz w:val="18"/>
                <w:szCs w:val="18"/>
                <w:lang w:eastAsia="en-GB"/>
              </w:rPr>
            </w:pPr>
            <w:r w:rsidRPr="00A20A17">
              <w:rPr>
                <w:rFonts w:ascii="Calibri" w:eastAsia="Times New Roman" w:hAnsi="Calibri" w:cs="Calibri"/>
                <w:color w:val="000000"/>
                <w:sz w:val="18"/>
                <w:szCs w:val="18"/>
                <w:lang w:eastAsia="en-GB"/>
              </w:rPr>
              <w:t>0.0047</w:t>
            </w:r>
          </w:p>
        </w:tc>
        <w:tc>
          <w:tcPr>
            <w:tcW w:w="1386" w:type="dxa"/>
            <w:noWrap/>
            <w:hideMark/>
          </w:tcPr>
          <w:p w14:paraId="3BCC7D85" w14:textId="77777777" w:rsidR="00FE37DB" w:rsidRPr="00A20A17" w:rsidRDefault="00FE37DB" w:rsidP="00A80B48">
            <w:pPr>
              <w:spacing w:after="0" w:line="240" w:lineRule="auto"/>
              <w:jc w:val="right"/>
              <w:rPr>
                <w:rFonts w:ascii="Calibri" w:eastAsia="Times New Roman" w:hAnsi="Calibri" w:cs="Calibri"/>
                <w:color w:val="000000"/>
                <w:sz w:val="18"/>
                <w:szCs w:val="18"/>
                <w:lang w:eastAsia="en-GB"/>
              </w:rPr>
            </w:pPr>
            <w:r w:rsidRPr="00A20A17">
              <w:rPr>
                <w:rFonts w:ascii="Calibri" w:eastAsia="Times New Roman" w:hAnsi="Calibri" w:cs="Calibri"/>
                <w:color w:val="000000"/>
                <w:sz w:val="18"/>
                <w:szCs w:val="18"/>
                <w:lang w:eastAsia="en-GB"/>
              </w:rPr>
              <w:t>0.0042</w:t>
            </w:r>
          </w:p>
        </w:tc>
      </w:tr>
      <w:tr w:rsidR="00FE37DB" w:rsidRPr="00A20A17" w14:paraId="08818F57" w14:textId="77777777" w:rsidTr="00A80B48">
        <w:trPr>
          <w:trHeight w:val="300"/>
        </w:trPr>
        <w:tc>
          <w:tcPr>
            <w:tcW w:w="1356" w:type="dxa"/>
            <w:noWrap/>
            <w:hideMark/>
          </w:tcPr>
          <w:p w14:paraId="014F0B0C" w14:textId="77777777" w:rsidR="00FE37DB" w:rsidRPr="00A20A17" w:rsidRDefault="00FE37DB" w:rsidP="00A80B48">
            <w:pPr>
              <w:spacing w:after="0" w:line="240" w:lineRule="auto"/>
              <w:rPr>
                <w:rFonts w:ascii="Calibri" w:eastAsia="Times New Roman" w:hAnsi="Calibri" w:cs="Calibri"/>
                <w:color w:val="000000"/>
                <w:sz w:val="18"/>
                <w:szCs w:val="18"/>
                <w:lang w:eastAsia="en-GB"/>
              </w:rPr>
            </w:pPr>
            <w:r w:rsidRPr="00A20A17">
              <w:rPr>
                <w:rFonts w:ascii="Calibri" w:eastAsia="Times New Roman" w:hAnsi="Calibri" w:cs="Calibri"/>
                <w:color w:val="000000"/>
                <w:sz w:val="18"/>
                <w:szCs w:val="18"/>
                <w:lang w:eastAsia="en-GB"/>
              </w:rPr>
              <w:t>Aged 65-69</w:t>
            </w:r>
          </w:p>
        </w:tc>
        <w:tc>
          <w:tcPr>
            <w:tcW w:w="939" w:type="dxa"/>
            <w:noWrap/>
            <w:hideMark/>
          </w:tcPr>
          <w:p w14:paraId="50676AFA" w14:textId="77777777" w:rsidR="00FE37DB" w:rsidRPr="00A20A17" w:rsidRDefault="00FE37DB" w:rsidP="00A80B48">
            <w:pPr>
              <w:spacing w:after="0" w:line="240" w:lineRule="auto"/>
              <w:jc w:val="right"/>
              <w:rPr>
                <w:rFonts w:ascii="Calibri" w:eastAsia="Times New Roman" w:hAnsi="Calibri" w:cs="Calibri"/>
                <w:color w:val="000000"/>
                <w:sz w:val="18"/>
                <w:szCs w:val="18"/>
                <w:lang w:eastAsia="en-GB"/>
              </w:rPr>
            </w:pPr>
            <w:r w:rsidRPr="00A20A17">
              <w:rPr>
                <w:rFonts w:ascii="Calibri" w:eastAsia="Times New Roman" w:hAnsi="Calibri" w:cs="Calibri"/>
                <w:color w:val="000000"/>
                <w:sz w:val="18"/>
                <w:szCs w:val="18"/>
                <w:lang w:eastAsia="en-GB"/>
              </w:rPr>
              <w:t>0.0078</w:t>
            </w:r>
          </w:p>
        </w:tc>
        <w:tc>
          <w:tcPr>
            <w:tcW w:w="1386" w:type="dxa"/>
            <w:noWrap/>
            <w:hideMark/>
          </w:tcPr>
          <w:p w14:paraId="2A7FEBB0" w14:textId="77777777" w:rsidR="00FE37DB" w:rsidRPr="00A20A17" w:rsidRDefault="00FE37DB" w:rsidP="00A80B48">
            <w:pPr>
              <w:spacing w:after="0" w:line="240" w:lineRule="auto"/>
              <w:jc w:val="right"/>
              <w:rPr>
                <w:rFonts w:ascii="Calibri" w:eastAsia="Times New Roman" w:hAnsi="Calibri" w:cs="Calibri"/>
                <w:color w:val="000000"/>
                <w:sz w:val="18"/>
                <w:szCs w:val="18"/>
                <w:lang w:eastAsia="en-GB"/>
              </w:rPr>
            </w:pPr>
            <w:r w:rsidRPr="00A20A17">
              <w:rPr>
                <w:rFonts w:ascii="Calibri" w:eastAsia="Times New Roman" w:hAnsi="Calibri" w:cs="Calibri"/>
                <w:color w:val="000000"/>
                <w:sz w:val="18"/>
                <w:szCs w:val="18"/>
                <w:lang w:eastAsia="en-GB"/>
              </w:rPr>
              <w:t>0.0064</w:t>
            </w:r>
          </w:p>
        </w:tc>
      </w:tr>
      <w:tr w:rsidR="00FE37DB" w:rsidRPr="00A20A17" w14:paraId="17D2F98B" w14:textId="77777777" w:rsidTr="00A80B48">
        <w:trPr>
          <w:trHeight w:val="300"/>
        </w:trPr>
        <w:tc>
          <w:tcPr>
            <w:tcW w:w="1356" w:type="dxa"/>
            <w:noWrap/>
            <w:hideMark/>
          </w:tcPr>
          <w:p w14:paraId="6D64AC42" w14:textId="77777777" w:rsidR="00FE37DB" w:rsidRPr="00A20A17" w:rsidRDefault="00FE37DB" w:rsidP="00A80B48">
            <w:pPr>
              <w:spacing w:after="0" w:line="240" w:lineRule="auto"/>
              <w:rPr>
                <w:rFonts w:ascii="Calibri" w:eastAsia="Times New Roman" w:hAnsi="Calibri" w:cs="Calibri"/>
                <w:color w:val="000000"/>
                <w:sz w:val="18"/>
                <w:szCs w:val="18"/>
                <w:lang w:eastAsia="en-GB"/>
              </w:rPr>
            </w:pPr>
            <w:r w:rsidRPr="00A20A17">
              <w:rPr>
                <w:rFonts w:ascii="Calibri" w:eastAsia="Times New Roman" w:hAnsi="Calibri" w:cs="Calibri"/>
                <w:color w:val="000000"/>
                <w:sz w:val="18"/>
                <w:szCs w:val="18"/>
                <w:lang w:eastAsia="en-GB"/>
              </w:rPr>
              <w:t>Aged 70-74</w:t>
            </w:r>
          </w:p>
        </w:tc>
        <w:tc>
          <w:tcPr>
            <w:tcW w:w="939" w:type="dxa"/>
            <w:noWrap/>
            <w:hideMark/>
          </w:tcPr>
          <w:p w14:paraId="4A314DE5" w14:textId="77777777" w:rsidR="00FE37DB" w:rsidRPr="00A20A17" w:rsidRDefault="00FE37DB" w:rsidP="00A80B48">
            <w:pPr>
              <w:spacing w:after="0" w:line="240" w:lineRule="auto"/>
              <w:jc w:val="right"/>
              <w:rPr>
                <w:rFonts w:ascii="Calibri" w:eastAsia="Times New Roman" w:hAnsi="Calibri" w:cs="Calibri"/>
                <w:color w:val="000000"/>
                <w:sz w:val="18"/>
                <w:szCs w:val="18"/>
                <w:lang w:eastAsia="en-GB"/>
              </w:rPr>
            </w:pPr>
            <w:r w:rsidRPr="00A20A17">
              <w:rPr>
                <w:rFonts w:ascii="Calibri" w:eastAsia="Times New Roman" w:hAnsi="Calibri" w:cs="Calibri"/>
                <w:color w:val="000000"/>
                <w:sz w:val="18"/>
                <w:szCs w:val="18"/>
                <w:lang w:eastAsia="en-GB"/>
              </w:rPr>
              <w:t>0.0122</w:t>
            </w:r>
          </w:p>
        </w:tc>
        <w:tc>
          <w:tcPr>
            <w:tcW w:w="1386" w:type="dxa"/>
            <w:noWrap/>
            <w:hideMark/>
          </w:tcPr>
          <w:p w14:paraId="60863603" w14:textId="77777777" w:rsidR="00FE37DB" w:rsidRPr="00A20A17" w:rsidRDefault="00FE37DB" w:rsidP="00A80B48">
            <w:pPr>
              <w:spacing w:after="0" w:line="240" w:lineRule="auto"/>
              <w:jc w:val="right"/>
              <w:rPr>
                <w:rFonts w:ascii="Calibri" w:eastAsia="Times New Roman" w:hAnsi="Calibri" w:cs="Calibri"/>
                <w:color w:val="000000"/>
                <w:sz w:val="18"/>
                <w:szCs w:val="18"/>
                <w:lang w:eastAsia="en-GB"/>
              </w:rPr>
            </w:pPr>
            <w:r w:rsidRPr="00A20A17">
              <w:rPr>
                <w:rFonts w:ascii="Calibri" w:eastAsia="Times New Roman" w:hAnsi="Calibri" w:cs="Calibri"/>
                <w:color w:val="000000"/>
                <w:sz w:val="18"/>
                <w:szCs w:val="18"/>
                <w:lang w:eastAsia="en-GB"/>
              </w:rPr>
              <w:t>0.0102</w:t>
            </w:r>
          </w:p>
        </w:tc>
      </w:tr>
      <w:tr w:rsidR="00FE37DB" w:rsidRPr="00A20A17" w14:paraId="214FE9F5" w14:textId="77777777" w:rsidTr="00A80B48">
        <w:trPr>
          <w:trHeight w:val="300"/>
        </w:trPr>
        <w:tc>
          <w:tcPr>
            <w:tcW w:w="1356" w:type="dxa"/>
            <w:noWrap/>
            <w:hideMark/>
          </w:tcPr>
          <w:p w14:paraId="13BC04EB" w14:textId="77777777" w:rsidR="00FE37DB" w:rsidRPr="00A20A17" w:rsidRDefault="00FE37DB" w:rsidP="00A80B48">
            <w:pPr>
              <w:spacing w:after="0" w:line="240" w:lineRule="auto"/>
              <w:rPr>
                <w:rFonts w:ascii="Calibri" w:eastAsia="Times New Roman" w:hAnsi="Calibri" w:cs="Calibri"/>
                <w:color w:val="000000"/>
                <w:sz w:val="18"/>
                <w:szCs w:val="18"/>
                <w:lang w:eastAsia="en-GB"/>
              </w:rPr>
            </w:pPr>
            <w:r w:rsidRPr="00A20A17">
              <w:rPr>
                <w:rFonts w:ascii="Calibri" w:eastAsia="Times New Roman" w:hAnsi="Calibri" w:cs="Calibri"/>
                <w:color w:val="000000"/>
                <w:sz w:val="18"/>
                <w:szCs w:val="18"/>
                <w:lang w:eastAsia="en-GB"/>
              </w:rPr>
              <w:t>Aged 75-79</w:t>
            </w:r>
          </w:p>
        </w:tc>
        <w:tc>
          <w:tcPr>
            <w:tcW w:w="939" w:type="dxa"/>
            <w:noWrap/>
            <w:hideMark/>
          </w:tcPr>
          <w:p w14:paraId="2F15606C" w14:textId="77777777" w:rsidR="00FE37DB" w:rsidRPr="00A20A17" w:rsidRDefault="00FE37DB" w:rsidP="00A80B48">
            <w:pPr>
              <w:spacing w:after="0" w:line="240" w:lineRule="auto"/>
              <w:jc w:val="right"/>
              <w:rPr>
                <w:rFonts w:ascii="Calibri" w:eastAsia="Times New Roman" w:hAnsi="Calibri" w:cs="Calibri"/>
                <w:color w:val="000000"/>
                <w:sz w:val="18"/>
                <w:szCs w:val="18"/>
                <w:lang w:eastAsia="en-GB"/>
              </w:rPr>
            </w:pPr>
            <w:r w:rsidRPr="00A20A17">
              <w:rPr>
                <w:rFonts w:ascii="Calibri" w:eastAsia="Times New Roman" w:hAnsi="Calibri" w:cs="Calibri"/>
                <w:color w:val="000000"/>
                <w:sz w:val="18"/>
                <w:szCs w:val="18"/>
                <w:lang w:eastAsia="en-GB"/>
              </w:rPr>
              <w:t>0.0221</w:t>
            </w:r>
          </w:p>
        </w:tc>
        <w:tc>
          <w:tcPr>
            <w:tcW w:w="1386" w:type="dxa"/>
            <w:noWrap/>
            <w:hideMark/>
          </w:tcPr>
          <w:p w14:paraId="6220D9C9" w14:textId="77777777" w:rsidR="00FE37DB" w:rsidRPr="00A20A17" w:rsidRDefault="00FE37DB" w:rsidP="00A80B48">
            <w:pPr>
              <w:spacing w:after="0" w:line="240" w:lineRule="auto"/>
              <w:jc w:val="right"/>
              <w:rPr>
                <w:rFonts w:ascii="Calibri" w:eastAsia="Times New Roman" w:hAnsi="Calibri" w:cs="Calibri"/>
                <w:color w:val="000000"/>
                <w:sz w:val="18"/>
                <w:szCs w:val="18"/>
                <w:lang w:eastAsia="en-GB"/>
              </w:rPr>
            </w:pPr>
            <w:r w:rsidRPr="00A20A17">
              <w:rPr>
                <w:rFonts w:ascii="Calibri" w:eastAsia="Times New Roman" w:hAnsi="Calibri" w:cs="Calibri"/>
                <w:color w:val="000000"/>
                <w:sz w:val="18"/>
                <w:szCs w:val="18"/>
                <w:lang w:eastAsia="en-GB"/>
              </w:rPr>
              <w:t>0.0175</w:t>
            </w:r>
          </w:p>
        </w:tc>
      </w:tr>
      <w:tr w:rsidR="00FE37DB" w:rsidRPr="00A20A17" w14:paraId="6D6A5EAE" w14:textId="77777777" w:rsidTr="00A80B48">
        <w:trPr>
          <w:trHeight w:val="300"/>
        </w:trPr>
        <w:tc>
          <w:tcPr>
            <w:tcW w:w="1356" w:type="dxa"/>
            <w:noWrap/>
            <w:hideMark/>
          </w:tcPr>
          <w:p w14:paraId="11CF321A" w14:textId="77777777" w:rsidR="00FE37DB" w:rsidRPr="00A20A17" w:rsidRDefault="00FE37DB" w:rsidP="00A80B48">
            <w:pPr>
              <w:spacing w:after="0" w:line="240" w:lineRule="auto"/>
              <w:rPr>
                <w:rFonts w:ascii="Calibri" w:eastAsia="Times New Roman" w:hAnsi="Calibri" w:cs="Calibri"/>
                <w:color w:val="000000"/>
                <w:sz w:val="18"/>
                <w:szCs w:val="18"/>
                <w:lang w:eastAsia="en-GB"/>
              </w:rPr>
            </w:pPr>
            <w:r w:rsidRPr="00A20A17">
              <w:rPr>
                <w:rFonts w:ascii="Calibri" w:eastAsia="Times New Roman" w:hAnsi="Calibri" w:cs="Calibri"/>
                <w:color w:val="000000"/>
                <w:sz w:val="18"/>
                <w:szCs w:val="18"/>
                <w:lang w:eastAsia="en-GB"/>
              </w:rPr>
              <w:t>Aged 80-84</w:t>
            </w:r>
          </w:p>
        </w:tc>
        <w:tc>
          <w:tcPr>
            <w:tcW w:w="939" w:type="dxa"/>
            <w:noWrap/>
            <w:hideMark/>
          </w:tcPr>
          <w:p w14:paraId="54C1B79B" w14:textId="77777777" w:rsidR="00FE37DB" w:rsidRPr="00A20A17" w:rsidRDefault="00FE37DB" w:rsidP="00A80B48">
            <w:pPr>
              <w:spacing w:after="0" w:line="240" w:lineRule="auto"/>
              <w:jc w:val="right"/>
              <w:rPr>
                <w:rFonts w:ascii="Calibri" w:eastAsia="Times New Roman" w:hAnsi="Calibri" w:cs="Calibri"/>
                <w:color w:val="000000"/>
                <w:sz w:val="18"/>
                <w:szCs w:val="18"/>
                <w:lang w:eastAsia="en-GB"/>
              </w:rPr>
            </w:pPr>
            <w:r w:rsidRPr="00A20A17">
              <w:rPr>
                <w:rFonts w:ascii="Calibri" w:eastAsia="Times New Roman" w:hAnsi="Calibri" w:cs="Calibri"/>
                <w:color w:val="000000"/>
                <w:sz w:val="18"/>
                <w:szCs w:val="18"/>
                <w:lang w:eastAsia="en-GB"/>
              </w:rPr>
              <w:t>0.0384</w:t>
            </w:r>
          </w:p>
        </w:tc>
        <w:tc>
          <w:tcPr>
            <w:tcW w:w="1386" w:type="dxa"/>
            <w:noWrap/>
            <w:hideMark/>
          </w:tcPr>
          <w:p w14:paraId="26AD9CF0" w14:textId="77777777" w:rsidR="00FE37DB" w:rsidRPr="00A20A17" w:rsidRDefault="00FE37DB" w:rsidP="00A80B48">
            <w:pPr>
              <w:spacing w:after="0" w:line="240" w:lineRule="auto"/>
              <w:jc w:val="right"/>
              <w:rPr>
                <w:rFonts w:ascii="Calibri" w:eastAsia="Times New Roman" w:hAnsi="Calibri" w:cs="Calibri"/>
                <w:color w:val="000000"/>
                <w:sz w:val="18"/>
                <w:szCs w:val="18"/>
                <w:lang w:eastAsia="en-GB"/>
              </w:rPr>
            </w:pPr>
            <w:r w:rsidRPr="00A20A17">
              <w:rPr>
                <w:rFonts w:ascii="Calibri" w:eastAsia="Times New Roman" w:hAnsi="Calibri" w:cs="Calibri"/>
                <w:color w:val="000000"/>
                <w:sz w:val="18"/>
                <w:szCs w:val="18"/>
                <w:lang w:eastAsia="en-GB"/>
              </w:rPr>
              <w:t>0.0316</w:t>
            </w:r>
          </w:p>
        </w:tc>
      </w:tr>
      <w:tr w:rsidR="00FE37DB" w:rsidRPr="00A20A17" w14:paraId="0AC3E3DD" w14:textId="77777777" w:rsidTr="00A80B48">
        <w:trPr>
          <w:trHeight w:val="300"/>
        </w:trPr>
        <w:tc>
          <w:tcPr>
            <w:tcW w:w="1356" w:type="dxa"/>
            <w:noWrap/>
            <w:hideMark/>
          </w:tcPr>
          <w:p w14:paraId="24BF1B98" w14:textId="77777777" w:rsidR="00FE37DB" w:rsidRPr="00A20A17" w:rsidRDefault="00FE37DB" w:rsidP="00A80B48">
            <w:pPr>
              <w:spacing w:after="0" w:line="240" w:lineRule="auto"/>
              <w:rPr>
                <w:rFonts w:ascii="Calibri" w:eastAsia="Times New Roman" w:hAnsi="Calibri" w:cs="Calibri"/>
                <w:color w:val="000000"/>
                <w:sz w:val="18"/>
                <w:szCs w:val="18"/>
                <w:lang w:eastAsia="en-GB"/>
              </w:rPr>
            </w:pPr>
            <w:r w:rsidRPr="00A20A17">
              <w:rPr>
                <w:rFonts w:ascii="Calibri" w:eastAsia="Times New Roman" w:hAnsi="Calibri" w:cs="Calibri"/>
                <w:color w:val="000000"/>
                <w:sz w:val="18"/>
                <w:szCs w:val="18"/>
                <w:lang w:eastAsia="en-GB"/>
              </w:rPr>
              <w:t>Aged 85-89</w:t>
            </w:r>
          </w:p>
        </w:tc>
        <w:tc>
          <w:tcPr>
            <w:tcW w:w="939" w:type="dxa"/>
            <w:noWrap/>
            <w:hideMark/>
          </w:tcPr>
          <w:p w14:paraId="52925CBA" w14:textId="77777777" w:rsidR="00FE37DB" w:rsidRPr="00A20A17" w:rsidRDefault="00FE37DB" w:rsidP="00A80B48">
            <w:pPr>
              <w:spacing w:after="0" w:line="240" w:lineRule="auto"/>
              <w:jc w:val="right"/>
              <w:rPr>
                <w:rFonts w:ascii="Calibri" w:eastAsia="Times New Roman" w:hAnsi="Calibri" w:cs="Calibri"/>
                <w:color w:val="000000"/>
                <w:sz w:val="18"/>
                <w:szCs w:val="18"/>
                <w:lang w:eastAsia="en-GB"/>
              </w:rPr>
            </w:pPr>
            <w:r w:rsidRPr="00A20A17">
              <w:rPr>
                <w:rFonts w:ascii="Calibri" w:eastAsia="Times New Roman" w:hAnsi="Calibri" w:cs="Calibri"/>
                <w:color w:val="000000"/>
                <w:sz w:val="18"/>
                <w:szCs w:val="18"/>
                <w:lang w:eastAsia="en-GB"/>
              </w:rPr>
              <w:t>0.0940</w:t>
            </w:r>
          </w:p>
        </w:tc>
        <w:tc>
          <w:tcPr>
            <w:tcW w:w="1386" w:type="dxa"/>
            <w:noWrap/>
            <w:hideMark/>
          </w:tcPr>
          <w:p w14:paraId="53FC227C" w14:textId="77777777" w:rsidR="00FE37DB" w:rsidRPr="00A20A17" w:rsidRDefault="00FE37DB" w:rsidP="00A80B48">
            <w:pPr>
              <w:spacing w:after="0" w:line="240" w:lineRule="auto"/>
              <w:jc w:val="right"/>
              <w:rPr>
                <w:rFonts w:ascii="Calibri" w:eastAsia="Times New Roman" w:hAnsi="Calibri" w:cs="Calibri"/>
                <w:color w:val="000000"/>
                <w:sz w:val="18"/>
                <w:szCs w:val="18"/>
                <w:lang w:eastAsia="en-GB"/>
              </w:rPr>
            </w:pPr>
            <w:r w:rsidRPr="00A20A17">
              <w:rPr>
                <w:rFonts w:ascii="Calibri" w:eastAsia="Times New Roman" w:hAnsi="Calibri" w:cs="Calibri"/>
                <w:color w:val="000000"/>
                <w:sz w:val="18"/>
                <w:szCs w:val="18"/>
                <w:lang w:eastAsia="en-GB"/>
              </w:rPr>
              <w:t>0.0917</w:t>
            </w:r>
          </w:p>
        </w:tc>
      </w:tr>
      <w:tr w:rsidR="00FE37DB" w:rsidRPr="00A20A17" w14:paraId="383EC6BE" w14:textId="77777777" w:rsidTr="00A80B48">
        <w:trPr>
          <w:trHeight w:val="300"/>
        </w:trPr>
        <w:tc>
          <w:tcPr>
            <w:tcW w:w="3681" w:type="dxa"/>
            <w:gridSpan w:val="3"/>
            <w:noWrap/>
          </w:tcPr>
          <w:p w14:paraId="18094F95" w14:textId="77777777" w:rsidR="00FE37DB" w:rsidRPr="00A20A17" w:rsidRDefault="00FE37DB" w:rsidP="00A80B48">
            <w:pPr>
              <w:spacing w:after="0" w:line="240" w:lineRule="auto"/>
              <w:rPr>
                <w:rFonts w:ascii="Calibri" w:eastAsia="Times New Roman" w:hAnsi="Calibri" w:cs="Calibri"/>
                <w:color w:val="000000"/>
                <w:sz w:val="18"/>
                <w:szCs w:val="18"/>
                <w:lang w:eastAsia="en-GB"/>
              </w:rPr>
            </w:pPr>
            <w:r w:rsidRPr="00A20A17">
              <w:rPr>
                <w:rFonts w:ascii="Calibri" w:eastAsia="Times New Roman" w:hAnsi="Calibri" w:cs="Calibri"/>
                <w:color w:val="000000"/>
                <w:sz w:val="18"/>
                <w:szCs w:val="18"/>
                <w:lang w:eastAsia="en-GB"/>
              </w:rPr>
              <w:t>Fixed in the probabilistic sensitivity analysis</w:t>
            </w:r>
          </w:p>
        </w:tc>
      </w:tr>
    </w:tbl>
    <w:p w14:paraId="5B5B4907" w14:textId="77777777" w:rsidR="00FE37DB" w:rsidRPr="00A20A17" w:rsidRDefault="00FE37DB" w:rsidP="00FE37DB">
      <w:pPr>
        <w:keepNext/>
        <w:spacing w:before="120"/>
        <w:rPr>
          <w:rFonts w:ascii="Calibri" w:eastAsia="Calibri" w:hAnsi="Calibri" w:cs="Arial"/>
          <w:i/>
          <w:iCs/>
          <w:color w:val="44546A"/>
          <w:sz w:val="18"/>
          <w:szCs w:val="18"/>
        </w:rPr>
      </w:pPr>
    </w:p>
    <w:p w14:paraId="580D81DC" w14:textId="77777777" w:rsidR="00FE37DB" w:rsidRPr="00A20A17" w:rsidRDefault="00FE37DB" w:rsidP="00FE37DB">
      <w:pPr>
        <w:spacing w:after="120" w:line="240" w:lineRule="auto"/>
        <w:rPr>
          <w:rFonts w:ascii="Calibri" w:eastAsia="Calibri" w:hAnsi="Calibri" w:cs="Arial"/>
          <w:i/>
          <w:iCs/>
          <w:color w:val="44546A"/>
          <w:sz w:val="18"/>
          <w:szCs w:val="18"/>
        </w:rPr>
      </w:pPr>
      <w:r w:rsidRPr="00A20A17">
        <w:rPr>
          <w:rFonts w:ascii="Calibri" w:eastAsia="Calibri" w:hAnsi="Calibri" w:cs="Arial"/>
        </w:rPr>
        <w:br w:type="page"/>
      </w:r>
    </w:p>
    <w:p w14:paraId="193BB97A" w14:textId="77777777" w:rsidR="00FE37DB" w:rsidRPr="00A20A17" w:rsidRDefault="00FE37DB" w:rsidP="00FE37DB">
      <w:pPr>
        <w:keepNext/>
        <w:spacing w:before="120"/>
        <w:rPr>
          <w:rFonts w:ascii="Calibri" w:eastAsia="Calibri" w:hAnsi="Calibri" w:cs="Arial"/>
          <w:i/>
          <w:iCs/>
          <w:color w:val="44546A"/>
          <w:sz w:val="18"/>
          <w:szCs w:val="18"/>
        </w:rPr>
      </w:pPr>
      <w:r w:rsidRPr="00A20A17">
        <w:rPr>
          <w:rFonts w:ascii="Calibri" w:eastAsia="Calibri" w:hAnsi="Calibri" w:cs="Arial"/>
          <w:i/>
          <w:iCs/>
          <w:color w:val="44546A"/>
          <w:sz w:val="18"/>
          <w:szCs w:val="18"/>
        </w:rPr>
        <w:t xml:space="preserve">Table </w:t>
      </w:r>
      <w:r w:rsidRPr="00A20A17">
        <w:rPr>
          <w:rFonts w:ascii="Calibri" w:eastAsia="Calibri" w:hAnsi="Calibri" w:cs="Arial"/>
          <w:i/>
          <w:iCs/>
          <w:color w:val="44546A"/>
          <w:sz w:val="18"/>
          <w:szCs w:val="18"/>
        </w:rPr>
        <w:fldChar w:fldCharType="begin"/>
      </w:r>
      <w:r w:rsidRPr="00A20A17">
        <w:rPr>
          <w:rFonts w:ascii="Calibri" w:eastAsia="Calibri" w:hAnsi="Calibri" w:cs="Arial"/>
          <w:i/>
          <w:iCs/>
          <w:color w:val="44546A"/>
          <w:sz w:val="18"/>
          <w:szCs w:val="18"/>
        </w:rPr>
        <w:instrText>SEQ Table \* ARABIC</w:instrText>
      </w:r>
      <w:r w:rsidRPr="00A20A17">
        <w:rPr>
          <w:rFonts w:ascii="Calibri" w:eastAsia="Calibri" w:hAnsi="Calibri" w:cs="Arial"/>
          <w:i/>
          <w:iCs/>
          <w:color w:val="44546A"/>
          <w:sz w:val="18"/>
          <w:szCs w:val="18"/>
        </w:rPr>
        <w:fldChar w:fldCharType="separate"/>
      </w:r>
      <w:r w:rsidRPr="00A20A17">
        <w:rPr>
          <w:rFonts w:ascii="Calibri" w:eastAsia="Calibri" w:hAnsi="Calibri" w:cs="Arial"/>
          <w:i/>
          <w:iCs/>
          <w:noProof/>
          <w:color w:val="44546A"/>
          <w:sz w:val="18"/>
          <w:szCs w:val="18"/>
        </w:rPr>
        <w:t>10</w:t>
      </w:r>
      <w:r w:rsidRPr="00A20A17">
        <w:rPr>
          <w:rFonts w:ascii="Calibri" w:eastAsia="Calibri" w:hAnsi="Calibri" w:cs="Arial"/>
          <w:i/>
          <w:iCs/>
          <w:color w:val="44546A"/>
          <w:sz w:val="18"/>
          <w:szCs w:val="18"/>
        </w:rPr>
        <w:fldChar w:fldCharType="end"/>
      </w:r>
      <w:r w:rsidRPr="00A20A17">
        <w:rPr>
          <w:rFonts w:ascii="Calibri" w:eastAsia="Calibri" w:hAnsi="Calibri" w:cs="Arial"/>
          <w:i/>
          <w:iCs/>
          <w:color w:val="44546A"/>
          <w:sz w:val="18"/>
          <w:szCs w:val="18"/>
        </w:rPr>
        <w:t>: Distribution and unit costs of lipid lowering therapy</w:t>
      </w:r>
    </w:p>
    <w:tbl>
      <w:tblPr>
        <w:tblStyle w:val="TableGrid21"/>
        <w:tblW w:w="9016" w:type="dxa"/>
        <w:tblLook w:val="04A0" w:firstRow="1" w:lastRow="0" w:firstColumn="1" w:lastColumn="0" w:noHBand="0" w:noVBand="1"/>
      </w:tblPr>
      <w:tblGrid>
        <w:gridCol w:w="3114"/>
        <w:gridCol w:w="1559"/>
        <w:gridCol w:w="1908"/>
        <w:gridCol w:w="2435"/>
      </w:tblGrid>
      <w:tr w:rsidR="00FE37DB" w:rsidRPr="00A20A17" w14:paraId="4A9D5EB1" w14:textId="77777777" w:rsidTr="00A80B48">
        <w:trPr>
          <w:trHeight w:val="300"/>
        </w:trPr>
        <w:tc>
          <w:tcPr>
            <w:tcW w:w="3114" w:type="dxa"/>
            <w:noWrap/>
            <w:vAlign w:val="center"/>
          </w:tcPr>
          <w:p w14:paraId="23474E05" w14:textId="77777777" w:rsidR="00FE37DB" w:rsidRPr="00A20A17" w:rsidRDefault="00FE37DB" w:rsidP="00A80B48">
            <w:pPr>
              <w:spacing w:after="0" w:line="240" w:lineRule="auto"/>
              <w:rPr>
                <w:rFonts w:ascii="Calibri" w:hAnsi="Calibri" w:cs="Calibri"/>
                <w:b/>
                <w:bCs/>
                <w:color w:val="000000"/>
                <w:szCs w:val="18"/>
                <w:lang w:eastAsia="en-GB"/>
              </w:rPr>
            </w:pPr>
            <w:r w:rsidRPr="00A20A17">
              <w:rPr>
                <w:rFonts w:ascii="Calibri" w:hAnsi="Calibri" w:cs="Calibri"/>
                <w:b/>
                <w:bCs/>
                <w:color w:val="000000"/>
                <w:szCs w:val="18"/>
                <w:lang w:eastAsia="en-GB"/>
              </w:rPr>
              <w:t>Type of lipid lowering therapy</w:t>
            </w:r>
          </w:p>
        </w:tc>
        <w:tc>
          <w:tcPr>
            <w:tcW w:w="1559" w:type="dxa"/>
            <w:vAlign w:val="center"/>
          </w:tcPr>
          <w:p w14:paraId="0188E159" w14:textId="77777777" w:rsidR="00FE37DB" w:rsidRPr="00A20A17" w:rsidRDefault="00FE37DB" w:rsidP="00A80B48">
            <w:pPr>
              <w:spacing w:after="0" w:line="240" w:lineRule="auto"/>
              <w:rPr>
                <w:rFonts w:ascii="Calibri" w:hAnsi="Calibri" w:cs="Calibri"/>
                <w:b/>
                <w:bCs/>
                <w:color w:val="000000"/>
                <w:szCs w:val="18"/>
              </w:rPr>
            </w:pPr>
            <w:r w:rsidRPr="00A20A17">
              <w:rPr>
                <w:rFonts w:ascii="Calibri" w:hAnsi="Calibri" w:cs="Calibri"/>
                <w:b/>
                <w:bCs/>
                <w:color w:val="000000"/>
                <w:szCs w:val="18"/>
              </w:rPr>
              <w:t>Number of individuals</w:t>
            </w:r>
          </w:p>
        </w:tc>
        <w:tc>
          <w:tcPr>
            <w:tcW w:w="1908" w:type="dxa"/>
            <w:vAlign w:val="center"/>
          </w:tcPr>
          <w:p w14:paraId="7B39CA67" w14:textId="77777777" w:rsidR="00FE37DB" w:rsidRPr="00A20A17" w:rsidRDefault="00FE37DB" w:rsidP="00A80B48">
            <w:pPr>
              <w:spacing w:after="0" w:line="240" w:lineRule="auto"/>
              <w:rPr>
                <w:rFonts w:ascii="Calibri" w:hAnsi="Calibri" w:cs="Calibri"/>
                <w:b/>
                <w:bCs/>
                <w:color w:val="000000"/>
                <w:szCs w:val="18"/>
              </w:rPr>
            </w:pPr>
            <w:r w:rsidRPr="00A20A17">
              <w:rPr>
                <w:rFonts w:ascii="Calibri" w:hAnsi="Calibri" w:cs="Calibri"/>
                <w:b/>
                <w:bCs/>
                <w:color w:val="000000"/>
                <w:szCs w:val="18"/>
              </w:rPr>
              <w:t xml:space="preserve">Unit cost </w:t>
            </w:r>
          </w:p>
        </w:tc>
        <w:tc>
          <w:tcPr>
            <w:tcW w:w="2435" w:type="dxa"/>
            <w:vAlign w:val="center"/>
          </w:tcPr>
          <w:p w14:paraId="7316BEA9" w14:textId="77777777" w:rsidR="00FE37DB" w:rsidRPr="00A20A17" w:rsidRDefault="00FE37DB" w:rsidP="00A80B48">
            <w:pPr>
              <w:spacing w:after="0" w:line="240" w:lineRule="auto"/>
              <w:rPr>
                <w:rFonts w:ascii="Calibri" w:hAnsi="Calibri" w:cs="Calibri"/>
                <w:b/>
                <w:bCs/>
                <w:color w:val="000000"/>
                <w:szCs w:val="18"/>
              </w:rPr>
            </w:pPr>
            <w:r w:rsidRPr="00A20A17">
              <w:rPr>
                <w:rFonts w:ascii="Calibri" w:hAnsi="Calibri" w:cs="Calibri"/>
                <w:b/>
                <w:bCs/>
                <w:color w:val="000000"/>
                <w:szCs w:val="18"/>
              </w:rPr>
              <w:t>Drug used for costing</w:t>
            </w:r>
          </w:p>
        </w:tc>
      </w:tr>
      <w:tr w:rsidR="00FE37DB" w:rsidRPr="00A20A17" w14:paraId="7F9CE0A7" w14:textId="77777777" w:rsidTr="00A80B48">
        <w:trPr>
          <w:trHeight w:val="300"/>
        </w:trPr>
        <w:tc>
          <w:tcPr>
            <w:tcW w:w="3114" w:type="dxa"/>
            <w:noWrap/>
            <w:vAlign w:val="center"/>
            <w:hideMark/>
          </w:tcPr>
          <w:p w14:paraId="12468B8A" w14:textId="77777777" w:rsidR="00FE37DB" w:rsidRPr="00A20A17" w:rsidRDefault="00FE37DB" w:rsidP="00A80B48">
            <w:pPr>
              <w:spacing w:after="0" w:line="240" w:lineRule="auto"/>
              <w:rPr>
                <w:rFonts w:ascii="Calibri" w:hAnsi="Calibri" w:cs="Calibri"/>
                <w:color w:val="000000"/>
                <w:szCs w:val="18"/>
                <w:lang w:eastAsia="en-GB"/>
              </w:rPr>
            </w:pPr>
            <w:r w:rsidRPr="00A20A17">
              <w:rPr>
                <w:rFonts w:ascii="Calibri" w:hAnsi="Calibri" w:cs="Calibri"/>
                <w:color w:val="000000"/>
                <w:szCs w:val="18"/>
                <w:lang w:eastAsia="en-GB"/>
              </w:rPr>
              <w:t>low statin</w:t>
            </w:r>
          </w:p>
        </w:tc>
        <w:tc>
          <w:tcPr>
            <w:tcW w:w="1559" w:type="dxa"/>
            <w:vAlign w:val="center"/>
          </w:tcPr>
          <w:p w14:paraId="3763DB70" w14:textId="77777777" w:rsidR="00FE37DB" w:rsidRPr="00A20A17" w:rsidRDefault="00FE37DB" w:rsidP="00A80B48">
            <w:pPr>
              <w:spacing w:after="0" w:line="240" w:lineRule="auto"/>
              <w:jc w:val="right"/>
              <w:rPr>
                <w:rFonts w:ascii="Calibri" w:hAnsi="Calibri" w:cs="Calibri"/>
                <w:color w:val="000000"/>
                <w:szCs w:val="18"/>
                <w:lang w:eastAsia="en-GB"/>
              </w:rPr>
            </w:pPr>
            <w:r w:rsidRPr="00A20A17">
              <w:rPr>
                <w:rFonts w:ascii="Calibri" w:hAnsi="Calibri" w:cs="Calibri"/>
                <w:color w:val="000000"/>
                <w:szCs w:val="18"/>
              </w:rPr>
              <w:t>48</w:t>
            </w:r>
          </w:p>
        </w:tc>
        <w:tc>
          <w:tcPr>
            <w:tcW w:w="1908" w:type="dxa"/>
            <w:vAlign w:val="center"/>
          </w:tcPr>
          <w:p w14:paraId="0CE63B45" w14:textId="77777777" w:rsidR="00FE37DB" w:rsidRPr="00A20A17" w:rsidRDefault="00FE37DB" w:rsidP="00A80B48">
            <w:pPr>
              <w:spacing w:after="0" w:line="240" w:lineRule="auto"/>
              <w:jc w:val="right"/>
              <w:rPr>
                <w:rFonts w:ascii="Calibri" w:hAnsi="Calibri" w:cs="Calibri"/>
                <w:color w:val="000000"/>
                <w:szCs w:val="18"/>
              </w:rPr>
            </w:pPr>
            <w:bookmarkStart w:id="10" w:name="RANGE!C151:C157"/>
            <w:r w:rsidRPr="00A20A17">
              <w:rPr>
                <w:rFonts w:ascii="Calibri" w:hAnsi="Calibri" w:cs="Calibri"/>
                <w:color w:val="000000"/>
                <w:szCs w:val="18"/>
              </w:rPr>
              <w:t>£0.79</w:t>
            </w:r>
            <w:bookmarkEnd w:id="10"/>
          </w:p>
        </w:tc>
        <w:tc>
          <w:tcPr>
            <w:tcW w:w="2435" w:type="dxa"/>
            <w:vAlign w:val="center"/>
          </w:tcPr>
          <w:p w14:paraId="777C88E6" w14:textId="77777777" w:rsidR="00FE37DB" w:rsidRPr="00A20A17" w:rsidRDefault="00FE37DB" w:rsidP="00A80B48">
            <w:pPr>
              <w:spacing w:after="0" w:line="240" w:lineRule="auto"/>
              <w:rPr>
                <w:rFonts w:ascii="Calibri" w:hAnsi="Calibri" w:cs="Calibri"/>
                <w:color w:val="000000"/>
                <w:szCs w:val="18"/>
              </w:rPr>
            </w:pPr>
            <w:r w:rsidRPr="00A20A17">
              <w:rPr>
                <w:rFonts w:ascii="Calibri" w:hAnsi="Calibri" w:cs="Calibri"/>
                <w:color w:val="000000"/>
                <w:szCs w:val="18"/>
              </w:rPr>
              <w:t>Simvastatin 10 mg 28 tablets</w:t>
            </w:r>
          </w:p>
        </w:tc>
      </w:tr>
      <w:tr w:rsidR="00FE37DB" w:rsidRPr="00A20A17" w14:paraId="7C7DDE20" w14:textId="77777777" w:rsidTr="00A80B48">
        <w:trPr>
          <w:trHeight w:val="300"/>
        </w:trPr>
        <w:tc>
          <w:tcPr>
            <w:tcW w:w="3114" w:type="dxa"/>
            <w:noWrap/>
            <w:vAlign w:val="center"/>
            <w:hideMark/>
          </w:tcPr>
          <w:p w14:paraId="406365AC" w14:textId="77777777" w:rsidR="00FE37DB" w:rsidRPr="00A20A17" w:rsidRDefault="00FE37DB" w:rsidP="00A80B48">
            <w:pPr>
              <w:spacing w:after="0" w:line="240" w:lineRule="auto"/>
              <w:rPr>
                <w:rFonts w:ascii="Calibri" w:hAnsi="Calibri" w:cs="Calibri"/>
                <w:color w:val="000000"/>
                <w:szCs w:val="18"/>
                <w:lang w:eastAsia="en-GB"/>
              </w:rPr>
            </w:pPr>
            <w:r w:rsidRPr="00A20A17">
              <w:rPr>
                <w:rFonts w:ascii="Calibri" w:hAnsi="Calibri" w:cs="Calibri"/>
                <w:color w:val="000000"/>
                <w:szCs w:val="18"/>
                <w:lang w:eastAsia="en-GB"/>
              </w:rPr>
              <w:t>low statin + non-statin</w:t>
            </w:r>
          </w:p>
        </w:tc>
        <w:tc>
          <w:tcPr>
            <w:tcW w:w="1559" w:type="dxa"/>
            <w:vAlign w:val="center"/>
          </w:tcPr>
          <w:p w14:paraId="40404CD4" w14:textId="77777777" w:rsidR="00FE37DB" w:rsidRPr="00A20A17" w:rsidRDefault="00FE37DB" w:rsidP="00A80B48">
            <w:pPr>
              <w:spacing w:after="0" w:line="240" w:lineRule="auto"/>
              <w:jc w:val="right"/>
              <w:rPr>
                <w:rFonts w:ascii="Calibri" w:hAnsi="Calibri" w:cs="Calibri"/>
                <w:color w:val="000000"/>
                <w:szCs w:val="18"/>
                <w:lang w:eastAsia="en-GB"/>
              </w:rPr>
            </w:pPr>
            <w:r w:rsidRPr="00A20A17">
              <w:rPr>
                <w:rFonts w:ascii="Calibri" w:hAnsi="Calibri" w:cs="Calibri"/>
                <w:szCs w:val="18"/>
              </w:rPr>
              <w:t>2</w:t>
            </w:r>
          </w:p>
        </w:tc>
        <w:tc>
          <w:tcPr>
            <w:tcW w:w="1908" w:type="dxa"/>
            <w:vAlign w:val="center"/>
          </w:tcPr>
          <w:p w14:paraId="7DD03695" w14:textId="77777777" w:rsidR="00FE37DB" w:rsidRPr="00A20A17" w:rsidRDefault="00FE37DB" w:rsidP="00A80B48">
            <w:pPr>
              <w:spacing w:after="0" w:line="240" w:lineRule="auto"/>
              <w:jc w:val="right"/>
              <w:rPr>
                <w:rFonts w:ascii="Calibri" w:hAnsi="Calibri" w:cs="Calibri"/>
                <w:szCs w:val="18"/>
              </w:rPr>
            </w:pPr>
            <w:r w:rsidRPr="00A20A17">
              <w:rPr>
                <w:rFonts w:ascii="Calibri" w:hAnsi="Calibri" w:cs="Calibri"/>
                <w:color w:val="000000"/>
                <w:szCs w:val="18"/>
              </w:rPr>
              <w:t>£2.65</w:t>
            </w:r>
          </w:p>
        </w:tc>
        <w:tc>
          <w:tcPr>
            <w:tcW w:w="2435" w:type="dxa"/>
            <w:vAlign w:val="center"/>
          </w:tcPr>
          <w:p w14:paraId="37CADC9A" w14:textId="77777777" w:rsidR="00FE37DB" w:rsidRPr="00A20A17" w:rsidRDefault="00FE37DB" w:rsidP="00A80B48">
            <w:pPr>
              <w:spacing w:after="0" w:line="240" w:lineRule="auto"/>
              <w:rPr>
                <w:rFonts w:ascii="Calibri" w:hAnsi="Calibri" w:cs="Calibri"/>
                <w:color w:val="000000"/>
                <w:szCs w:val="18"/>
              </w:rPr>
            </w:pPr>
            <w:r w:rsidRPr="00A20A17">
              <w:rPr>
                <w:rFonts w:ascii="Calibri" w:hAnsi="Calibri" w:cs="Calibri"/>
                <w:color w:val="000000"/>
                <w:szCs w:val="18"/>
              </w:rPr>
              <w:t>Simvastatin 10 mg 28 tablets + ezetimibe 10 mg 28 tables</w:t>
            </w:r>
          </w:p>
        </w:tc>
      </w:tr>
      <w:tr w:rsidR="00FE37DB" w:rsidRPr="00A20A17" w14:paraId="009758AA" w14:textId="77777777" w:rsidTr="00A80B48">
        <w:trPr>
          <w:trHeight w:val="300"/>
        </w:trPr>
        <w:tc>
          <w:tcPr>
            <w:tcW w:w="3114" w:type="dxa"/>
            <w:noWrap/>
            <w:vAlign w:val="center"/>
            <w:hideMark/>
          </w:tcPr>
          <w:p w14:paraId="03BF7E32" w14:textId="77777777" w:rsidR="00FE37DB" w:rsidRPr="00A20A17" w:rsidRDefault="00FE37DB" w:rsidP="00A80B48">
            <w:pPr>
              <w:spacing w:after="0" w:line="240" w:lineRule="auto"/>
              <w:rPr>
                <w:rFonts w:ascii="Calibri" w:hAnsi="Calibri" w:cs="Calibri"/>
                <w:color w:val="000000"/>
                <w:szCs w:val="18"/>
                <w:lang w:eastAsia="en-GB"/>
              </w:rPr>
            </w:pPr>
            <w:r w:rsidRPr="00A20A17">
              <w:rPr>
                <w:rFonts w:ascii="Calibri" w:hAnsi="Calibri" w:cs="Calibri"/>
                <w:color w:val="000000"/>
                <w:szCs w:val="18"/>
                <w:lang w:eastAsia="en-GB"/>
              </w:rPr>
              <w:t>medium statin</w:t>
            </w:r>
          </w:p>
        </w:tc>
        <w:tc>
          <w:tcPr>
            <w:tcW w:w="1559" w:type="dxa"/>
            <w:vAlign w:val="center"/>
          </w:tcPr>
          <w:p w14:paraId="6458EE59" w14:textId="77777777" w:rsidR="00FE37DB" w:rsidRPr="00A20A17" w:rsidRDefault="00FE37DB" w:rsidP="00A80B48">
            <w:pPr>
              <w:spacing w:after="0" w:line="240" w:lineRule="auto"/>
              <w:jc w:val="right"/>
              <w:rPr>
                <w:rFonts w:ascii="Calibri" w:hAnsi="Calibri" w:cs="Calibri"/>
                <w:color w:val="000000"/>
                <w:szCs w:val="18"/>
                <w:lang w:eastAsia="en-GB"/>
              </w:rPr>
            </w:pPr>
            <w:r w:rsidRPr="00A20A17">
              <w:rPr>
                <w:rFonts w:ascii="Calibri" w:hAnsi="Calibri" w:cs="Calibri"/>
                <w:color w:val="000000"/>
                <w:szCs w:val="18"/>
              </w:rPr>
              <w:t>609</w:t>
            </w:r>
          </w:p>
        </w:tc>
        <w:tc>
          <w:tcPr>
            <w:tcW w:w="1908" w:type="dxa"/>
            <w:vAlign w:val="center"/>
          </w:tcPr>
          <w:p w14:paraId="42BCB049" w14:textId="77777777" w:rsidR="00FE37DB" w:rsidRPr="00A20A17" w:rsidRDefault="00FE37DB" w:rsidP="00A80B48">
            <w:pPr>
              <w:spacing w:after="0" w:line="240" w:lineRule="auto"/>
              <w:jc w:val="right"/>
              <w:rPr>
                <w:rFonts w:ascii="Calibri" w:hAnsi="Calibri" w:cs="Calibri"/>
                <w:color w:val="000000"/>
                <w:szCs w:val="18"/>
              </w:rPr>
            </w:pPr>
            <w:r w:rsidRPr="00A20A17">
              <w:rPr>
                <w:rFonts w:ascii="Calibri" w:hAnsi="Calibri" w:cs="Calibri"/>
                <w:color w:val="000000"/>
                <w:szCs w:val="18"/>
              </w:rPr>
              <w:t>£0.86</w:t>
            </w:r>
          </w:p>
        </w:tc>
        <w:tc>
          <w:tcPr>
            <w:tcW w:w="2435" w:type="dxa"/>
            <w:vAlign w:val="center"/>
          </w:tcPr>
          <w:p w14:paraId="5BC3C632" w14:textId="77777777" w:rsidR="00FE37DB" w:rsidRPr="00A20A17" w:rsidRDefault="00FE37DB" w:rsidP="00A80B48">
            <w:pPr>
              <w:spacing w:after="0" w:line="240" w:lineRule="auto"/>
              <w:rPr>
                <w:rFonts w:ascii="Calibri" w:hAnsi="Calibri" w:cs="Calibri"/>
                <w:color w:val="000000"/>
                <w:szCs w:val="18"/>
              </w:rPr>
            </w:pPr>
            <w:r w:rsidRPr="00A20A17">
              <w:rPr>
                <w:rFonts w:ascii="Calibri" w:hAnsi="Calibri" w:cs="Calibri"/>
                <w:color w:val="000000"/>
                <w:szCs w:val="18"/>
              </w:rPr>
              <w:t>Atorvastatin 10 mg 28 tables</w:t>
            </w:r>
          </w:p>
        </w:tc>
      </w:tr>
      <w:tr w:rsidR="00FE37DB" w:rsidRPr="00A20A17" w14:paraId="2A109CB9" w14:textId="77777777" w:rsidTr="00A80B48">
        <w:trPr>
          <w:trHeight w:val="300"/>
        </w:trPr>
        <w:tc>
          <w:tcPr>
            <w:tcW w:w="3114" w:type="dxa"/>
            <w:noWrap/>
            <w:vAlign w:val="center"/>
            <w:hideMark/>
          </w:tcPr>
          <w:p w14:paraId="493125D5" w14:textId="77777777" w:rsidR="00FE37DB" w:rsidRPr="00A20A17" w:rsidRDefault="00FE37DB" w:rsidP="00A80B48">
            <w:pPr>
              <w:spacing w:after="0" w:line="240" w:lineRule="auto"/>
              <w:rPr>
                <w:rFonts w:ascii="Calibri" w:hAnsi="Calibri" w:cs="Calibri"/>
                <w:color w:val="000000"/>
                <w:szCs w:val="18"/>
                <w:lang w:eastAsia="en-GB"/>
              </w:rPr>
            </w:pPr>
            <w:r w:rsidRPr="00A20A17">
              <w:rPr>
                <w:rFonts w:ascii="Calibri" w:hAnsi="Calibri" w:cs="Calibri"/>
                <w:color w:val="000000"/>
                <w:szCs w:val="18"/>
                <w:lang w:eastAsia="en-GB"/>
              </w:rPr>
              <w:t>medium statin + non-statin</w:t>
            </w:r>
          </w:p>
        </w:tc>
        <w:tc>
          <w:tcPr>
            <w:tcW w:w="1559" w:type="dxa"/>
            <w:vAlign w:val="center"/>
          </w:tcPr>
          <w:p w14:paraId="7D853F6F" w14:textId="77777777" w:rsidR="00FE37DB" w:rsidRPr="00A20A17" w:rsidRDefault="00FE37DB" w:rsidP="00A80B48">
            <w:pPr>
              <w:spacing w:after="0" w:line="240" w:lineRule="auto"/>
              <w:jc w:val="right"/>
              <w:rPr>
                <w:rFonts w:ascii="Calibri" w:hAnsi="Calibri" w:cs="Calibri"/>
                <w:color w:val="000000"/>
                <w:szCs w:val="18"/>
                <w:lang w:eastAsia="en-GB"/>
              </w:rPr>
            </w:pPr>
            <w:r w:rsidRPr="00A20A17">
              <w:rPr>
                <w:rFonts w:ascii="Calibri" w:hAnsi="Calibri" w:cs="Calibri"/>
                <w:color w:val="000000"/>
                <w:szCs w:val="18"/>
              </w:rPr>
              <w:t>50</w:t>
            </w:r>
          </w:p>
        </w:tc>
        <w:tc>
          <w:tcPr>
            <w:tcW w:w="1908" w:type="dxa"/>
            <w:vAlign w:val="center"/>
          </w:tcPr>
          <w:p w14:paraId="7BDF6F92" w14:textId="77777777" w:rsidR="00FE37DB" w:rsidRPr="00A20A17" w:rsidRDefault="00FE37DB" w:rsidP="00A80B48">
            <w:pPr>
              <w:spacing w:after="0" w:line="240" w:lineRule="auto"/>
              <w:jc w:val="right"/>
              <w:rPr>
                <w:rFonts w:ascii="Calibri" w:hAnsi="Calibri" w:cs="Calibri"/>
                <w:color w:val="000000"/>
                <w:szCs w:val="18"/>
              </w:rPr>
            </w:pPr>
            <w:r w:rsidRPr="00A20A17">
              <w:rPr>
                <w:rFonts w:ascii="Calibri" w:hAnsi="Calibri" w:cs="Calibri"/>
                <w:color w:val="000000"/>
                <w:szCs w:val="18"/>
              </w:rPr>
              <w:t>£2.72</w:t>
            </w:r>
          </w:p>
        </w:tc>
        <w:tc>
          <w:tcPr>
            <w:tcW w:w="2435" w:type="dxa"/>
            <w:vAlign w:val="center"/>
          </w:tcPr>
          <w:p w14:paraId="45C823C2" w14:textId="77777777" w:rsidR="00FE37DB" w:rsidRPr="00A20A17" w:rsidRDefault="00FE37DB" w:rsidP="00A80B48">
            <w:pPr>
              <w:spacing w:after="0" w:line="240" w:lineRule="auto"/>
              <w:rPr>
                <w:rFonts w:ascii="Calibri" w:hAnsi="Calibri" w:cs="Calibri"/>
                <w:color w:val="000000"/>
                <w:szCs w:val="18"/>
              </w:rPr>
            </w:pPr>
            <w:r w:rsidRPr="00A20A17">
              <w:rPr>
                <w:rFonts w:ascii="Calibri" w:hAnsi="Calibri" w:cs="Calibri"/>
                <w:color w:val="000000"/>
                <w:szCs w:val="18"/>
              </w:rPr>
              <w:t>Atorvastatin 10 mg 28 tablets + ezetimibe 10 mg 28 tables</w:t>
            </w:r>
          </w:p>
        </w:tc>
      </w:tr>
      <w:tr w:rsidR="00FE37DB" w:rsidRPr="00A20A17" w14:paraId="3599A34D" w14:textId="77777777" w:rsidTr="00A80B48">
        <w:trPr>
          <w:trHeight w:val="300"/>
        </w:trPr>
        <w:tc>
          <w:tcPr>
            <w:tcW w:w="3114" w:type="dxa"/>
            <w:noWrap/>
            <w:vAlign w:val="center"/>
            <w:hideMark/>
          </w:tcPr>
          <w:p w14:paraId="5A59377A" w14:textId="77777777" w:rsidR="00FE37DB" w:rsidRPr="00A20A17" w:rsidRDefault="00FE37DB" w:rsidP="00A80B48">
            <w:pPr>
              <w:spacing w:after="0" w:line="240" w:lineRule="auto"/>
              <w:rPr>
                <w:rFonts w:ascii="Calibri" w:hAnsi="Calibri" w:cs="Calibri"/>
                <w:color w:val="000000"/>
                <w:szCs w:val="18"/>
                <w:lang w:eastAsia="en-GB"/>
              </w:rPr>
            </w:pPr>
            <w:r w:rsidRPr="00A20A17">
              <w:rPr>
                <w:rFonts w:ascii="Calibri" w:hAnsi="Calibri" w:cs="Calibri"/>
                <w:color w:val="000000"/>
                <w:szCs w:val="18"/>
                <w:lang w:eastAsia="en-GB"/>
              </w:rPr>
              <w:t>high statin</w:t>
            </w:r>
          </w:p>
        </w:tc>
        <w:tc>
          <w:tcPr>
            <w:tcW w:w="1559" w:type="dxa"/>
            <w:vAlign w:val="center"/>
          </w:tcPr>
          <w:p w14:paraId="2BB22E18" w14:textId="77777777" w:rsidR="00FE37DB" w:rsidRPr="00A20A17" w:rsidRDefault="00FE37DB" w:rsidP="00A80B48">
            <w:pPr>
              <w:spacing w:after="0" w:line="240" w:lineRule="auto"/>
              <w:jc w:val="right"/>
              <w:rPr>
                <w:rFonts w:ascii="Calibri" w:hAnsi="Calibri" w:cs="Calibri"/>
                <w:color w:val="000000"/>
                <w:szCs w:val="18"/>
                <w:lang w:eastAsia="en-GB"/>
              </w:rPr>
            </w:pPr>
            <w:r w:rsidRPr="00A20A17">
              <w:rPr>
                <w:rFonts w:ascii="Calibri" w:hAnsi="Calibri" w:cs="Calibri"/>
                <w:color w:val="000000"/>
                <w:szCs w:val="18"/>
              </w:rPr>
              <w:t>562</w:t>
            </w:r>
          </w:p>
        </w:tc>
        <w:tc>
          <w:tcPr>
            <w:tcW w:w="1908" w:type="dxa"/>
            <w:vAlign w:val="center"/>
          </w:tcPr>
          <w:p w14:paraId="6D9F2256" w14:textId="77777777" w:rsidR="00FE37DB" w:rsidRPr="00A20A17" w:rsidRDefault="00FE37DB" w:rsidP="00A80B48">
            <w:pPr>
              <w:spacing w:after="0" w:line="240" w:lineRule="auto"/>
              <w:jc w:val="right"/>
              <w:rPr>
                <w:rFonts w:ascii="Calibri" w:hAnsi="Calibri" w:cs="Calibri"/>
                <w:color w:val="000000"/>
                <w:szCs w:val="18"/>
              </w:rPr>
            </w:pPr>
            <w:r w:rsidRPr="00A20A17">
              <w:rPr>
                <w:rFonts w:ascii="Calibri" w:hAnsi="Calibri" w:cs="Calibri"/>
                <w:color w:val="000000"/>
                <w:szCs w:val="18"/>
              </w:rPr>
              <w:t>£1.82</w:t>
            </w:r>
          </w:p>
        </w:tc>
        <w:tc>
          <w:tcPr>
            <w:tcW w:w="2435" w:type="dxa"/>
            <w:vAlign w:val="center"/>
          </w:tcPr>
          <w:p w14:paraId="0CF5325C" w14:textId="77777777" w:rsidR="00FE37DB" w:rsidRPr="00A20A17" w:rsidRDefault="00FE37DB" w:rsidP="00A80B48">
            <w:pPr>
              <w:spacing w:after="0" w:line="240" w:lineRule="auto"/>
              <w:rPr>
                <w:rFonts w:ascii="Calibri" w:hAnsi="Calibri" w:cs="Calibri"/>
                <w:color w:val="000000"/>
                <w:szCs w:val="18"/>
              </w:rPr>
            </w:pPr>
            <w:r w:rsidRPr="00A20A17">
              <w:rPr>
                <w:rFonts w:ascii="Calibri" w:hAnsi="Calibri" w:cs="Calibri"/>
                <w:color w:val="000000"/>
                <w:szCs w:val="18"/>
              </w:rPr>
              <w:t>Atorvastatin 80 mg 28 tables</w:t>
            </w:r>
          </w:p>
        </w:tc>
      </w:tr>
      <w:tr w:rsidR="00FE37DB" w:rsidRPr="00A20A17" w14:paraId="1653D46E" w14:textId="77777777" w:rsidTr="00A80B48">
        <w:trPr>
          <w:trHeight w:val="300"/>
        </w:trPr>
        <w:tc>
          <w:tcPr>
            <w:tcW w:w="3114" w:type="dxa"/>
            <w:noWrap/>
            <w:vAlign w:val="center"/>
            <w:hideMark/>
          </w:tcPr>
          <w:p w14:paraId="621A9D6F" w14:textId="77777777" w:rsidR="00FE37DB" w:rsidRPr="00A20A17" w:rsidRDefault="00FE37DB" w:rsidP="00A80B48">
            <w:pPr>
              <w:spacing w:after="0" w:line="240" w:lineRule="auto"/>
              <w:rPr>
                <w:rFonts w:ascii="Calibri" w:hAnsi="Calibri" w:cs="Calibri"/>
                <w:color w:val="000000"/>
                <w:szCs w:val="18"/>
                <w:lang w:eastAsia="en-GB"/>
              </w:rPr>
            </w:pPr>
            <w:r w:rsidRPr="00A20A17">
              <w:rPr>
                <w:rFonts w:ascii="Calibri" w:hAnsi="Calibri" w:cs="Calibri"/>
                <w:color w:val="000000"/>
                <w:szCs w:val="18"/>
                <w:lang w:eastAsia="en-GB"/>
              </w:rPr>
              <w:t>high statin + non-statin</w:t>
            </w:r>
          </w:p>
        </w:tc>
        <w:tc>
          <w:tcPr>
            <w:tcW w:w="1559" w:type="dxa"/>
            <w:vAlign w:val="center"/>
          </w:tcPr>
          <w:p w14:paraId="32168AB6" w14:textId="77777777" w:rsidR="00FE37DB" w:rsidRPr="00A20A17" w:rsidRDefault="00FE37DB" w:rsidP="00A80B48">
            <w:pPr>
              <w:spacing w:after="0" w:line="240" w:lineRule="auto"/>
              <w:jc w:val="right"/>
              <w:rPr>
                <w:rFonts w:ascii="Calibri" w:hAnsi="Calibri" w:cs="Calibri"/>
                <w:color w:val="000000"/>
                <w:szCs w:val="18"/>
                <w:lang w:eastAsia="en-GB"/>
              </w:rPr>
            </w:pPr>
            <w:r w:rsidRPr="00A20A17">
              <w:rPr>
                <w:rFonts w:ascii="Calibri" w:hAnsi="Calibri" w:cs="Calibri"/>
                <w:color w:val="000000"/>
                <w:szCs w:val="18"/>
              </w:rPr>
              <w:t>159</w:t>
            </w:r>
          </w:p>
        </w:tc>
        <w:tc>
          <w:tcPr>
            <w:tcW w:w="1908" w:type="dxa"/>
            <w:vAlign w:val="center"/>
          </w:tcPr>
          <w:p w14:paraId="25D4245D" w14:textId="77777777" w:rsidR="00FE37DB" w:rsidRPr="00A20A17" w:rsidRDefault="00FE37DB" w:rsidP="00A80B48">
            <w:pPr>
              <w:spacing w:after="0" w:line="240" w:lineRule="auto"/>
              <w:jc w:val="right"/>
              <w:rPr>
                <w:rFonts w:ascii="Calibri" w:hAnsi="Calibri" w:cs="Calibri"/>
                <w:color w:val="000000"/>
                <w:szCs w:val="18"/>
              </w:rPr>
            </w:pPr>
            <w:r w:rsidRPr="00A20A17">
              <w:rPr>
                <w:rFonts w:ascii="Calibri" w:hAnsi="Calibri" w:cs="Calibri"/>
                <w:color w:val="000000"/>
                <w:szCs w:val="18"/>
              </w:rPr>
              <w:t>£3.68</w:t>
            </w:r>
          </w:p>
        </w:tc>
        <w:tc>
          <w:tcPr>
            <w:tcW w:w="2435" w:type="dxa"/>
            <w:vAlign w:val="center"/>
          </w:tcPr>
          <w:p w14:paraId="5683B8C2" w14:textId="77777777" w:rsidR="00FE37DB" w:rsidRPr="00A20A17" w:rsidRDefault="00FE37DB" w:rsidP="00A80B48">
            <w:pPr>
              <w:spacing w:after="0" w:line="240" w:lineRule="auto"/>
              <w:rPr>
                <w:rFonts w:ascii="Calibri" w:hAnsi="Calibri" w:cs="Calibri"/>
                <w:color w:val="000000"/>
                <w:szCs w:val="18"/>
              </w:rPr>
            </w:pPr>
            <w:r w:rsidRPr="00A20A17">
              <w:rPr>
                <w:rFonts w:ascii="Calibri" w:hAnsi="Calibri" w:cs="Calibri"/>
                <w:color w:val="000000"/>
                <w:szCs w:val="18"/>
              </w:rPr>
              <w:t>Atorvastatin 80 mg 28 tablets + ezetimibe 10 mg 28 tables</w:t>
            </w:r>
          </w:p>
        </w:tc>
      </w:tr>
      <w:tr w:rsidR="00FE37DB" w:rsidRPr="00A20A17" w14:paraId="5B0460E0" w14:textId="77777777" w:rsidTr="00A80B48">
        <w:trPr>
          <w:trHeight w:val="300"/>
        </w:trPr>
        <w:tc>
          <w:tcPr>
            <w:tcW w:w="3114" w:type="dxa"/>
            <w:noWrap/>
            <w:vAlign w:val="center"/>
            <w:hideMark/>
          </w:tcPr>
          <w:p w14:paraId="29092D4B" w14:textId="77777777" w:rsidR="00FE37DB" w:rsidRPr="00A20A17" w:rsidRDefault="00FE37DB" w:rsidP="00A80B48">
            <w:pPr>
              <w:spacing w:after="0" w:line="240" w:lineRule="auto"/>
              <w:rPr>
                <w:rFonts w:ascii="Calibri" w:hAnsi="Calibri" w:cs="Calibri"/>
                <w:color w:val="000000"/>
                <w:szCs w:val="18"/>
                <w:lang w:eastAsia="en-GB"/>
              </w:rPr>
            </w:pPr>
            <w:r w:rsidRPr="00A20A17">
              <w:rPr>
                <w:rFonts w:ascii="Calibri" w:hAnsi="Calibri" w:cs="Calibri"/>
                <w:color w:val="000000"/>
                <w:szCs w:val="18"/>
                <w:lang w:eastAsia="en-GB"/>
              </w:rPr>
              <w:t>non-statin</w:t>
            </w:r>
          </w:p>
        </w:tc>
        <w:tc>
          <w:tcPr>
            <w:tcW w:w="1559" w:type="dxa"/>
            <w:vAlign w:val="center"/>
          </w:tcPr>
          <w:p w14:paraId="601B6BF6" w14:textId="77777777" w:rsidR="00FE37DB" w:rsidRPr="00A20A17" w:rsidRDefault="00FE37DB" w:rsidP="00A80B48">
            <w:pPr>
              <w:spacing w:after="0" w:line="240" w:lineRule="auto"/>
              <w:jc w:val="right"/>
              <w:rPr>
                <w:rFonts w:ascii="Calibri" w:hAnsi="Calibri" w:cs="Calibri"/>
                <w:color w:val="000000"/>
                <w:szCs w:val="18"/>
                <w:lang w:eastAsia="en-GB"/>
              </w:rPr>
            </w:pPr>
            <w:r w:rsidRPr="00A20A17">
              <w:rPr>
                <w:rFonts w:ascii="Calibri" w:hAnsi="Calibri" w:cs="Calibri"/>
                <w:color w:val="000000"/>
                <w:szCs w:val="18"/>
              </w:rPr>
              <w:t>12</w:t>
            </w:r>
          </w:p>
        </w:tc>
        <w:tc>
          <w:tcPr>
            <w:tcW w:w="1908" w:type="dxa"/>
            <w:vAlign w:val="center"/>
          </w:tcPr>
          <w:p w14:paraId="1709B4C8" w14:textId="77777777" w:rsidR="00FE37DB" w:rsidRPr="00A20A17" w:rsidRDefault="00FE37DB" w:rsidP="00A80B48">
            <w:pPr>
              <w:spacing w:after="0" w:line="240" w:lineRule="auto"/>
              <w:jc w:val="right"/>
              <w:rPr>
                <w:rFonts w:ascii="Calibri" w:hAnsi="Calibri" w:cs="Calibri"/>
                <w:color w:val="000000"/>
                <w:szCs w:val="18"/>
              </w:rPr>
            </w:pPr>
            <w:r w:rsidRPr="00A20A17">
              <w:rPr>
                <w:rFonts w:ascii="Calibri" w:hAnsi="Calibri" w:cs="Calibri"/>
                <w:color w:val="000000"/>
                <w:szCs w:val="18"/>
              </w:rPr>
              <w:t>£1.86</w:t>
            </w:r>
          </w:p>
        </w:tc>
        <w:tc>
          <w:tcPr>
            <w:tcW w:w="2435" w:type="dxa"/>
            <w:vAlign w:val="center"/>
          </w:tcPr>
          <w:p w14:paraId="6A690C29" w14:textId="77777777" w:rsidR="00FE37DB" w:rsidRPr="00A20A17" w:rsidRDefault="00FE37DB" w:rsidP="00A80B48">
            <w:pPr>
              <w:spacing w:after="0" w:line="240" w:lineRule="auto"/>
              <w:rPr>
                <w:rFonts w:ascii="Calibri" w:hAnsi="Calibri" w:cs="Calibri"/>
                <w:color w:val="000000"/>
                <w:szCs w:val="18"/>
              </w:rPr>
            </w:pPr>
            <w:r w:rsidRPr="00A20A17">
              <w:rPr>
                <w:rFonts w:ascii="Calibri" w:hAnsi="Calibri" w:cs="Calibri"/>
                <w:color w:val="000000"/>
                <w:szCs w:val="18"/>
              </w:rPr>
              <w:t>Ezetimibe 10 mg 28 tables</w:t>
            </w:r>
          </w:p>
        </w:tc>
      </w:tr>
      <w:tr w:rsidR="00FE37DB" w:rsidRPr="00A20A17" w14:paraId="6B8F7361" w14:textId="77777777" w:rsidTr="00A80B48">
        <w:trPr>
          <w:trHeight w:val="300"/>
        </w:trPr>
        <w:tc>
          <w:tcPr>
            <w:tcW w:w="3114" w:type="dxa"/>
            <w:noWrap/>
            <w:vAlign w:val="center"/>
          </w:tcPr>
          <w:p w14:paraId="5205655D" w14:textId="77777777" w:rsidR="00FE37DB" w:rsidRPr="00A20A17" w:rsidRDefault="00FE37DB" w:rsidP="00A80B48">
            <w:pPr>
              <w:spacing w:after="0" w:line="240" w:lineRule="auto"/>
              <w:rPr>
                <w:rFonts w:ascii="Calibri" w:hAnsi="Calibri" w:cs="Calibri"/>
                <w:color w:val="000000"/>
                <w:szCs w:val="18"/>
                <w:lang w:eastAsia="en-GB"/>
              </w:rPr>
            </w:pPr>
            <w:r w:rsidRPr="00A20A17">
              <w:rPr>
                <w:rFonts w:ascii="Calibri" w:hAnsi="Calibri" w:cs="Calibri"/>
                <w:color w:val="000000"/>
                <w:szCs w:val="18"/>
                <w:lang w:eastAsia="en-GB"/>
              </w:rPr>
              <w:t>Source</w:t>
            </w:r>
          </w:p>
        </w:tc>
        <w:tc>
          <w:tcPr>
            <w:tcW w:w="1559" w:type="dxa"/>
            <w:vAlign w:val="center"/>
          </w:tcPr>
          <w:p w14:paraId="340E8185" w14:textId="77777777" w:rsidR="00FE37DB" w:rsidRPr="00A20A17" w:rsidRDefault="00FE37DB" w:rsidP="00A80B48">
            <w:pPr>
              <w:spacing w:after="0" w:line="240" w:lineRule="auto"/>
              <w:rPr>
                <w:rFonts w:ascii="Calibri" w:hAnsi="Calibri" w:cs="Calibri"/>
                <w:color w:val="000000"/>
                <w:szCs w:val="18"/>
              </w:rPr>
            </w:pPr>
          </w:p>
        </w:tc>
        <w:tc>
          <w:tcPr>
            <w:tcW w:w="1908" w:type="dxa"/>
            <w:vAlign w:val="center"/>
          </w:tcPr>
          <w:p w14:paraId="2B8B91E7" w14:textId="77777777" w:rsidR="00FE37DB" w:rsidRPr="00A20A17" w:rsidRDefault="00FE37DB" w:rsidP="00A80B48">
            <w:pPr>
              <w:spacing w:after="0" w:line="240" w:lineRule="auto"/>
              <w:rPr>
                <w:rFonts w:ascii="Calibri" w:hAnsi="Calibri" w:cs="Calibri"/>
                <w:color w:val="000000"/>
                <w:szCs w:val="18"/>
              </w:rPr>
            </w:pPr>
          </w:p>
        </w:tc>
        <w:tc>
          <w:tcPr>
            <w:tcW w:w="2435" w:type="dxa"/>
            <w:vAlign w:val="center"/>
          </w:tcPr>
          <w:p w14:paraId="24690271" w14:textId="77777777" w:rsidR="00FE37DB" w:rsidRPr="00A20A17" w:rsidRDefault="00FE37DB" w:rsidP="00A80B48">
            <w:pPr>
              <w:spacing w:after="0" w:line="240" w:lineRule="auto"/>
              <w:rPr>
                <w:rFonts w:ascii="Calibri" w:hAnsi="Calibri" w:cs="Calibri"/>
                <w:color w:val="000000"/>
                <w:szCs w:val="18"/>
              </w:rPr>
            </w:pPr>
          </w:p>
        </w:tc>
      </w:tr>
      <w:tr w:rsidR="00FE37DB" w:rsidRPr="00A20A17" w14:paraId="6EE30B37" w14:textId="77777777" w:rsidTr="00A80B48">
        <w:trPr>
          <w:trHeight w:val="300"/>
        </w:trPr>
        <w:tc>
          <w:tcPr>
            <w:tcW w:w="9016" w:type="dxa"/>
            <w:gridSpan w:val="4"/>
            <w:noWrap/>
            <w:vAlign w:val="center"/>
          </w:tcPr>
          <w:p w14:paraId="794A3144" w14:textId="77777777" w:rsidR="00FE37DB" w:rsidRPr="00A20A17" w:rsidRDefault="00FE37DB" w:rsidP="00A80B48">
            <w:pPr>
              <w:spacing w:after="0" w:line="240" w:lineRule="auto"/>
              <w:rPr>
                <w:rFonts w:ascii="Calibri" w:hAnsi="Calibri" w:cs="Calibri"/>
                <w:color w:val="000000"/>
                <w:szCs w:val="18"/>
              </w:rPr>
            </w:pPr>
            <w:r w:rsidRPr="00A20A17">
              <w:rPr>
                <w:rFonts w:ascii="Calibri" w:hAnsi="Calibri" w:cs="Calibri"/>
                <w:color w:val="000000"/>
                <w:szCs w:val="18"/>
              </w:rPr>
              <w:t>Source for the number of individuals: Analysis of CPRD cohort</w:t>
            </w:r>
          </w:p>
          <w:p w14:paraId="2E510699" w14:textId="77777777" w:rsidR="00FE37DB" w:rsidRPr="00A20A17" w:rsidRDefault="00FE37DB" w:rsidP="00A80B48">
            <w:pPr>
              <w:spacing w:after="0" w:line="240" w:lineRule="auto"/>
              <w:rPr>
                <w:rFonts w:ascii="Calibri" w:hAnsi="Calibri" w:cs="Calibri"/>
                <w:color w:val="000000"/>
                <w:szCs w:val="18"/>
              </w:rPr>
            </w:pPr>
            <w:r w:rsidRPr="00A20A17">
              <w:rPr>
                <w:rFonts w:ascii="Calibri" w:hAnsi="Calibri" w:cs="Calibri"/>
                <w:color w:val="000000"/>
                <w:szCs w:val="18"/>
              </w:rPr>
              <w:t xml:space="preserve">Source for the unit costs: Drug Tariff December 2019 </w:t>
            </w:r>
            <w:r w:rsidRPr="00A20A17">
              <w:rPr>
                <w:rFonts w:ascii="Calibri" w:hAnsi="Calibri" w:cs="Calibri"/>
                <w:color w:val="000000"/>
                <w:szCs w:val="18"/>
              </w:rPr>
              <w:fldChar w:fldCharType="begin"/>
            </w:r>
            <w:r w:rsidRPr="00A20A17">
              <w:rPr>
                <w:rFonts w:ascii="Calibri" w:hAnsi="Calibri" w:cs="Calibri"/>
                <w:color w:val="000000"/>
                <w:szCs w:val="18"/>
              </w:rPr>
              <w:instrText xml:space="preserve"> ADDIN EN.CITE &lt;EndNote&gt;&lt;Cite&gt;&lt;Author&gt;NHS Business Services Authority&lt;/Author&gt;&lt;Year&gt;2019&lt;/Year&gt;&lt;IDText&gt;Electronic Drug Tariff for the National Health Service England and Wales&lt;/IDText&gt;&lt;DisplayText&gt;&lt;style face="superscript"&gt;19&lt;/style&gt;&lt;/DisplayText&gt;&lt;record&gt;&lt;dates&gt;&lt;pub-dates&gt;&lt;date&gt;24/05/2021&lt;/date&gt;&lt;/pub-dates&gt;&lt;year&gt;2019&lt;/year&gt;&lt;/dates&gt;&lt;urls&gt;&lt;related-urls&gt;&lt;url&gt;http://www.drugtariff.nhsbsa.nhs.uk/#/00766639-DC/DC00766631/Home&lt;/url&gt;&lt;/related-urls&gt;&lt;/urls&gt;&lt;isbn&gt;2049-5579&lt;/isbn&gt;&lt;titles&gt;&lt;title&gt;Electronic Drug Tariff for the National Health Service England and Wales&lt;/title&gt;&lt;/titles&gt;&lt;contributors&gt;&lt;authors&gt;&lt;author&gt;NHS Business Services Authority,&lt;/author&gt;&lt;author&gt;NHS Prescription Services,&lt;/author&gt;&lt;/authors&gt;&lt;/contributors&gt;&lt;added-date format="utc"&gt;1621866518&lt;/added-date&gt;&lt;ref-type name="Electronic Book"&gt;44&lt;/ref-type&gt;&lt;rec-number&gt;4&lt;/rec-number&gt;&lt;last-updated-date format="utc"&gt;1621866644&lt;/last-updated-date&gt;&lt;num-vols&gt;December 2019&lt;/num-vols&gt;&lt;/record&gt;&lt;/Cite&gt;&lt;/EndNote&gt;</w:instrText>
            </w:r>
            <w:r w:rsidRPr="00A20A17">
              <w:rPr>
                <w:rFonts w:ascii="Calibri" w:hAnsi="Calibri" w:cs="Calibri"/>
                <w:color w:val="000000"/>
                <w:szCs w:val="18"/>
              </w:rPr>
              <w:fldChar w:fldCharType="separate"/>
            </w:r>
            <w:r w:rsidRPr="00A20A17">
              <w:rPr>
                <w:rFonts w:ascii="Calibri" w:hAnsi="Calibri" w:cs="Calibri"/>
                <w:noProof/>
                <w:color w:val="000000"/>
                <w:szCs w:val="18"/>
                <w:vertAlign w:val="superscript"/>
              </w:rPr>
              <w:t>19</w:t>
            </w:r>
            <w:r w:rsidRPr="00A20A17">
              <w:rPr>
                <w:rFonts w:ascii="Calibri" w:hAnsi="Calibri" w:cs="Calibri"/>
                <w:color w:val="000000"/>
                <w:szCs w:val="18"/>
              </w:rPr>
              <w:fldChar w:fldCharType="end"/>
            </w:r>
          </w:p>
          <w:p w14:paraId="7576F006" w14:textId="77777777" w:rsidR="00FE37DB" w:rsidRPr="00A20A17" w:rsidRDefault="00FE37DB" w:rsidP="00A80B48">
            <w:pPr>
              <w:spacing w:after="0" w:line="240" w:lineRule="auto"/>
              <w:rPr>
                <w:rFonts w:ascii="Calibri" w:hAnsi="Calibri" w:cs="Calibri"/>
                <w:color w:val="000000"/>
                <w:szCs w:val="18"/>
              </w:rPr>
            </w:pPr>
            <w:r w:rsidRPr="00A20A17">
              <w:rPr>
                <w:rFonts w:ascii="Calibri" w:hAnsi="Calibri" w:cs="Calibri"/>
                <w:color w:val="000000"/>
                <w:szCs w:val="18"/>
              </w:rPr>
              <w:t>Distribution for the probabilistic sensitivity analysis: Dirichlet for distribution of individuals by lipid lowering treatment categories; unit costs fixed.</w:t>
            </w:r>
          </w:p>
        </w:tc>
      </w:tr>
    </w:tbl>
    <w:p w14:paraId="173232B2" w14:textId="77777777" w:rsidR="00FE37DB" w:rsidRPr="00A20A17" w:rsidRDefault="00FE37DB" w:rsidP="00FE37DB">
      <w:pPr>
        <w:spacing w:before="120" w:after="120"/>
        <w:rPr>
          <w:rFonts w:ascii="Calibri" w:eastAsia="Calibri" w:hAnsi="Calibri" w:cs="Arial"/>
        </w:rPr>
      </w:pPr>
    </w:p>
    <w:p w14:paraId="7BCF97EC" w14:textId="77777777" w:rsidR="00FE37DB" w:rsidRPr="00A20A17" w:rsidRDefault="00FE37DB" w:rsidP="00FE37DB">
      <w:pPr>
        <w:keepNext/>
        <w:spacing w:before="120"/>
        <w:rPr>
          <w:rFonts w:ascii="Calibri" w:eastAsia="Calibri" w:hAnsi="Calibri" w:cs="Arial"/>
          <w:i/>
          <w:iCs/>
          <w:color w:val="44546A"/>
          <w:sz w:val="18"/>
          <w:szCs w:val="18"/>
        </w:rPr>
      </w:pPr>
      <w:r w:rsidRPr="00A20A17">
        <w:rPr>
          <w:rFonts w:ascii="Calibri" w:eastAsia="Calibri" w:hAnsi="Calibri" w:cs="Arial"/>
          <w:i/>
          <w:iCs/>
          <w:color w:val="44546A"/>
          <w:sz w:val="18"/>
          <w:szCs w:val="18"/>
        </w:rPr>
        <w:t xml:space="preserve">Table </w:t>
      </w:r>
      <w:r w:rsidRPr="00A20A17">
        <w:rPr>
          <w:rFonts w:ascii="Calibri" w:eastAsia="Calibri" w:hAnsi="Calibri" w:cs="Arial"/>
          <w:i/>
          <w:iCs/>
          <w:color w:val="44546A"/>
          <w:sz w:val="18"/>
          <w:szCs w:val="18"/>
        </w:rPr>
        <w:fldChar w:fldCharType="begin"/>
      </w:r>
      <w:r w:rsidRPr="00A20A17">
        <w:rPr>
          <w:rFonts w:ascii="Calibri" w:eastAsia="Calibri" w:hAnsi="Calibri" w:cs="Arial"/>
          <w:i/>
          <w:iCs/>
          <w:color w:val="44546A"/>
          <w:sz w:val="18"/>
          <w:szCs w:val="18"/>
        </w:rPr>
        <w:instrText>SEQ Table \* ARABIC</w:instrText>
      </w:r>
      <w:r w:rsidRPr="00A20A17">
        <w:rPr>
          <w:rFonts w:ascii="Calibri" w:eastAsia="Calibri" w:hAnsi="Calibri" w:cs="Arial"/>
          <w:i/>
          <w:iCs/>
          <w:color w:val="44546A"/>
          <w:sz w:val="18"/>
          <w:szCs w:val="18"/>
        </w:rPr>
        <w:fldChar w:fldCharType="separate"/>
      </w:r>
      <w:r w:rsidRPr="00A20A17">
        <w:rPr>
          <w:rFonts w:ascii="Calibri" w:eastAsia="Calibri" w:hAnsi="Calibri" w:cs="Arial"/>
          <w:i/>
          <w:iCs/>
          <w:noProof/>
          <w:color w:val="44546A"/>
          <w:sz w:val="18"/>
          <w:szCs w:val="18"/>
        </w:rPr>
        <w:t>11</w:t>
      </w:r>
      <w:r w:rsidRPr="00A20A17">
        <w:rPr>
          <w:rFonts w:ascii="Calibri" w:eastAsia="Calibri" w:hAnsi="Calibri" w:cs="Arial"/>
          <w:i/>
          <w:iCs/>
          <w:color w:val="44546A"/>
          <w:sz w:val="18"/>
          <w:szCs w:val="18"/>
        </w:rPr>
        <w:fldChar w:fldCharType="end"/>
      </w:r>
      <w:r w:rsidRPr="00A20A17">
        <w:rPr>
          <w:rFonts w:ascii="Calibri" w:eastAsia="Calibri" w:hAnsi="Calibri" w:cs="Arial"/>
          <w:i/>
          <w:iCs/>
          <w:color w:val="44546A"/>
          <w:sz w:val="18"/>
          <w:szCs w:val="18"/>
        </w:rPr>
        <w:t>: Monitoring pattern and costs in the base-case</w:t>
      </w:r>
    </w:p>
    <w:tbl>
      <w:tblPr>
        <w:tblStyle w:val="TableGrid21"/>
        <w:tblW w:w="5000" w:type="pct"/>
        <w:tblLook w:val="04A0" w:firstRow="1" w:lastRow="0" w:firstColumn="1" w:lastColumn="0" w:noHBand="0" w:noVBand="1"/>
      </w:tblPr>
      <w:tblGrid>
        <w:gridCol w:w="3687"/>
        <w:gridCol w:w="2114"/>
        <w:gridCol w:w="1608"/>
        <w:gridCol w:w="1607"/>
      </w:tblGrid>
      <w:tr w:rsidR="00FE37DB" w:rsidRPr="00A20A17" w14:paraId="7E81FF85" w14:textId="77777777" w:rsidTr="00A80B48">
        <w:trPr>
          <w:trHeight w:val="296"/>
        </w:trPr>
        <w:tc>
          <w:tcPr>
            <w:tcW w:w="2045" w:type="pct"/>
            <w:vAlign w:val="center"/>
            <w:hideMark/>
          </w:tcPr>
          <w:p w14:paraId="660440F4" w14:textId="77777777" w:rsidR="00FE37DB" w:rsidRPr="00A20A17" w:rsidRDefault="00FE37DB" w:rsidP="00A80B48">
            <w:pPr>
              <w:spacing w:after="0" w:line="240" w:lineRule="auto"/>
              <w:jc w:val="center"/>
              <w:rPr>
                <w:rFonts w:ascii="Calibri" w:hAnsi="Calibri" w:cs="Calibri"/>
                <w:b/>
                <w:bCs/>
                <w:color w:val="000000"/>
                <w:lang w:eastAsia="en-GB"/>
              </w:rPr>
            </w:pPr>
            <w:r w:rsidRPr="00A20A17">
              <w:rPr>
                <w:rFonts w:ascii="Calibri" w:hAnsi="Calibri" w:cs="Calibri"/>
                <w:b/>
                <w:bCs/>
                <w:color w:val="000000"/>
                <w:lang w:eastAsia="en-GB"/>
              </w:rPr>
              <w:t>Individual group</w:t>
            </w:r>
          </w:p>
        </w:tc>
        <w:tc>
          <w:tcPr>
            <w:tcW w:w="1172" w:type="pct"/>
            <w:noWrap/>
            <w:vAlign w:val="center"/>
            <w:hideMark/>
          </w:tcPr>
          <w:p w14:paraId="4C3CB32C" w14:textId="77777777" w:rsidR="00FE37DB" w:rsidRPr="00A20A17" w:rsidRDefault="00FE37DB" w:rsidP="00A80B48">
            <w:pPr>
              <w:spacing w:after="0" w:line="240" w:lineRule="auto"/>
              <w:jc w:val="center"/>
              <w:rPr>
                <w:rFonts w:ascii="Calibri" w:hAnsi="Calibri" w:cs="Calibri"/>
                <w:b/>
                <w:bCs/>
                <w:color w:val="000000"/>
                <w:lang w:eastAsia="en-GB"/>
              </w:rPr>
            </w:pPr>
            <w:r w:rsidRPr="00A20A17">
              <w:rPr>
                <w:rFonts w:ascii="Calibri" w:hAnsi="Calibri" w:cs="Calibri"/>
                <w:b/>
                <w:bCs/>
                <w:color w:val="000000"/>
                <w:lang w:eastAsia="en-GB"/>
              </w:rPr>
              <w:t>Number of appointments</w:t>
            </w:r>
          </w:p>
        </w:tc>
        <w:tc>
          <w:tcPr>
            <w:tcW w:w="892" w:type="pct"/>
            <w:vAlign w:val="center"/>
          </w:tcPr>
          <w:p w14:paraId="4FB2735A" w14:textId="77777777" w:rsidR="00FE37DB" w:rsidRPr="00A20A17" w:rsidRDefault="00FE37DB" w:rsidP="00A80B48">
            <w:pPr>
              <w:spacing w:after="0" w:line="240" w:lineRule="auto"/>
              <w:jc w:val="center"/>
              <w:rPr>
                <w:rFonts w:ascii="Calibri" w:hAnsi="Calibri" w:cs="Calibri"/>
                <w:b/>
                <w:bCs/>
                <w:color w:val="000000"/>
                <w:lang w:eastAsia="en-GB"/>
              </w:rPr>
            </w:pPr>
            <w:r w:rsidRPr="00A20A17">
              <w:rPr>
                <w:rFonts w:ascii="Calibri" w:hAnsi="Calibri" w:cs="Calibri"/>
                <w:b/>
                <w:bCs/>
                <w:color w:val="000000"/>
                <w:lang w:eastAsia="en-GB"/>
              </w:rPr>
              <w:t>Mean cost</w:t>
            </w:r>
          </w:p>
        </w:tc>
        <w:tc>
          <w:tcPr>
            <w:tcW w:w="891" w:type="pct"/>
            <w:vAlign w:val="center"/>
          </w:tcPr>
          <w:p w14:paraId="0C0031C5" w14:textId="77777777" w:rsidR="00FE37DB" w:rsidRPr="00A20A17" w:rsidRDefault="00FE37DB" w:rsidP="00A80B48">
            <w:pPr>
              <w:spacing w:after="0" w:line="240" w:lineRule="auto"/>
              <w:jc w:val="center"/>
              <w:rPr>
                <w:rFonts w:ascii="Calibri" w:hAnsi="Calibri" w:cs="Calibri"/>
                <w:b/>
                <w:bCs/>
                <w:color w:val="000000"/>
                <w:lang w:eastAsia="en-GB"/>
              </w:rPr>
            </w:pPr>
            <w:r w:rsidRPr="00A20A17">
              <w:rPr>
                <w:rFonts w:ascii="Calibri" w:hAnsi="Calibri" w:cs="Calibri"/>
                <w:b/>
                <w:bCs/>
                <w:color w:val="000000"/>
                <w:lang w:eastAsia="en-GB"/>
              </w:rPr>
              <w:t>Standard Error [1]</w:t>
            </w:r>
          </w:p>
        </w:tc>
      </w:tr>
      <w:tr w:rsidR="00FE37DB" w:rsidRPr="00A20A17" w14:paraId="4394900C" w14:textId="77777777" w:rsidTr="00A80B48">
        <w:trPr>
          <w:trHeight w:val="296"/>
        </w:trPr>
        <w:tc>
          <w:tcPr>
            <w:tcW w:w="5000" w:type="pct"/>
            <w:gridSpan w:val="4"/>
            <w:shd w:val="clear" w:color="auto" w:fill="E7E6E6"/>
            <w:vAlign w:val="center"/>
            <w:hideMark/>
          </w:tcPr>
          <w:p w14:paraId="5C3490EB"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Adults</w:t>
            </w:r>
          </w:p>
          <w:p w14:paraId="67A86E18"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 </w:t>
            </w:r>
          </w:p>
        </w:tc>
      </w:tr>
      <w:tr w:rsidR="00FE37DB" w:rsidRPr="00A20A17" w14:paraId="553F8116" w14:textId="77777777" w:rsidTr="00A80B48">
        <w:trPr>
          <w:trHeight w:val="296"/>
        </w:trPr>
        <w:tc>
          <w:tcPr>
            <w:tcW w:w="2045" w:type="pct"/>
            <w:vAlign w:val="center"/>
            <w:hideMark/>
          </w:tcPr>
          <w:p w14:paraId="3566E378" w14:textId="77777777" w:rsidR="00FE37DB" w:rsidRPr="00A20A17" w:rsidRDefault="00FE37DB" w:rsidP="00A80B48">
            <w:pPr>
              <w:spacing w:after="0" w:line="240" w:lineRule="auto"/>
              <w:rPr>
                <w:rFonts w:ascii="Calibri" w:hAnsi="Calibri" w:cs="Calibri"/>
                <w:color w:val="000000"/>
                <w:lang w:eastAsia="en-GB"/>
              </w:rPr>
            </w:pPr>
            <w:r w:rsidRPr="00A20A17">
              <w:rPr>
                <w:rFonts w:ascii="Calibri" w:hAnsi="Calibri" w:cs="Calibri"/>
                <w:color w:val="000000"/>
                <w:lang w:eastAsia="en-GB"/>
              </w:rPr>
              <w:t>Primary care Year 1: number of appointments (&amp; lipid tests)</w:t>
            </w:r>
          </w:p>
        </w:tc>
        <w:tc>
          <w:tcPr>
            <w:tcW w:w="1172" w:type="pct"/>
            <w:noWrap/>
            <w:vAlign w:val="center"/>
            <w:hideMark/>
          </w:tcPr>
          <w:p w14:paraId="47313488" w14:textId="77777777" w:rsidR="00FE37DB" w:rsidRPr="00A20A17" w:rsidRDefault="00FE37DB" w:rsidP="00A80B48">
            <w:pPr>
              <w:spacing w:after="0" w:line="240" w:lineRule="auto"/>
              <w:jc w:val="right"/>
              <w:rPr>
                <w:rFonts w:ascii="Calibri" w:hAnsi="Calibri" w:cs="Calibri"/>
                <w:color w:val="000000"/>
                <w:lang w:eastAsia="en-GB"/>
              </w:rPr>
            </w:pPr>
            <w:bookmarkStart w:id="11" w:name="RANGE!C184:E193"/>
            <w:r w:rsidRPr="00A20A17">
              <w:rPr>
                <w:rFonts w:ascii="Calibri" w:hAnsi="Calibri" w:cs="Calibri"/>
                <w:color w:val="000000"/>
                <w:lang w:eastAsia="en-GB"/>
              </w:rPr>
              <w:t>3.0</w:t>
            </w:r>
            <w:bookmarkEnd w:id="11"/>
          </w:p>
        </w:tc>
        <w:tc>
          <w:tcPr>
            <w:tcW w:w="892" w:type="pct"/>
            <w:vAlign w:val="center"/>
          </w:tcPr>
          <w:p w14:paraId="45B91940"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£137</w:t>
            </w:r>
          </w:p>
        </w:tc>
        <w:tc>
          <w:tcPr>
            <w:tcW w:w="891" w:type="pct"/>
            <w:vAlign w:val="center"/>
          </w:tcPr>
          <w:p w14:paraId="690A8FE7"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£35</w:t>
            </w:r>
          </w:p>
        </w:tc>
      </w:tr>
      <w:tr w:rsidR="00FE37DB" w:rsidRPr="00A20A17" w14:paraId="76860BF8" w14:textId="77777777" w:rsidTr="00A80B48">
        <w:trPr>
          <w:trHeight w:val="296"/>
        </w:trPr>
        <w:tc>
          <w:tcPr>
            <w:tcW w:w="2045" w:type="pct"/>
            <w:vAlign w:val="center"/>
            <w:hideMark/>
          </w:tcPr>
          <w:p w14:paraId="0047FF9D" w14:textId="77777777" w:rsidR="00FE37DB" w:rsidRPr="00A20A17" w:rsidRDefault="00FE37DB" w:rsidP="00A80B48">
            <w:pPr>
              <w:spacing w:after="0" w:line="240" w:lineRule="auto"/>
              <w:rPr>
                <w:rFonts w:ascii="Calibri" w:hAnsi="Calibri" w:cs="Calibri"/>
                <w:color w:val="000000"/>
                <w:lang w:eastAsia="en-GB"/>
              </w:rPr>
            </w:pPr>
            <w:r w:rsidRPr="00A20A17">
              <w:rPr>
                <w:rFonts w:ascii="Calibri" w:hAnsi="Calibri" w:cs="Calibri"/>
                <w:color w:val="000000"/>
                <w:lang w:eastAsia="en-GB"/>
              </w:rPr>
              <w:t>Primary care Year 2+: number of appointments (&amp; lipid tests)</w:t>
            </w:r>
          </w:p>
        </w:tc>
        <w:tc>
          <w:tcPr>
            <w:tcW w:w="1172" w:type="pct"/>
            <w:noWrap/>
            <w:vAlign w:val="center"/>
            <w:hideMark/>
          </w:tcPr>
          <w:p w14:paraId="6525DC9C"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1.0</w:t>
            </w:r>
          </w:p>
        </w:tc>
        <w:tc>
          <w:tcPr>
            <w:tcW w:w="892" w:type="pct"/>
            <w:vAlign w:val="center"/>
          </w:tcPr>
          <w:p w14:paraId="788D3DD0"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£35</w:t>
            </w:r>
          </w:p>
        </w:tc>
        <w:tc>
          <w:tcPr>
            <w:tcW w:w="891" w:type="pct"/>
            <w:vAlign w:val="center"/>
          </w:tcPr>
          <w:p w14:paraId="5D89476D"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£9</w:t>
            </w:r>
          </w:p>
        </w:tc>
      </w:tr>
      <w:tr w:rsidR="00FE37DB" w:rsidRPr="00A20A17" w14:paraId="50E836CD" w14:textId="77777777" w:rsidTr="00A80B48">
        <w:trPr>
          <w:trHeight w:val="296"/>
        </w:trPr>
        <w:tc>
          <w:tcPr>
            <w:tcW w:w="2045" w:type="pct"/>
            <w:vAlign w:val="center"/>
            <w:hideMark/>
          </w:tcPr>
          <w:p w14:paraId="0F860E1A" w14:textId="77777777" w:rsidR="00FE37DB" w:rsidRPr="00A20A17" w:rsidRDefault="00FE37DB" w:rsidP="00A80B48">
            <w:pPr>
              <w:spacing w:after="0" w:line="240" w:lineRule="auto"/>
              <w:rPr>
                <w:rFonts w:ascii="Calibri" w:hAnsi="Calibri" w:cs="Calibri"/>
                <w:color w:val="000000"/>
                <w:lang w:eastAsia="en-GB"/>
              </w:rPr>
            </w:pPr>
            <w:r w:rsidRPr="00A20A17">
              <w:rPr>
                <w:rFonts w:ascii="Calibri" w:hAnsi="Calibri" w:cs="Calibri"/>
                <w:color w:val="000000"/>
                <w:lang w:eastAsia="en-GB"/>
              </w:rPr>
              <w:t>Secondary care Year 1: number of appointments (&amp; lipid tests)</w:t>
            </w:r>
          </w:p>
        </w:tc>
        <w:tc>
          <w:tcPr>
            <w:tcW w:w="1172" w:type="pct"/>
            <w:noWrap/>
            <w:vAlign w:val="center"/>
            <w:hideMark/>
          </w:tcPr>
          <w:p w14:paraId="24D7A93A"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3.0</w:t>
            </w:r>
          </w:p>
        </w:tc>
        <w:tc>
          <w:tcPr>
            <w:tcW w:w="892" w:type="pct"/>
            <w:vAlign w:val="center"/>
          </w:tcPr>
          <w:p w14:paraId="0083EF3D"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£556</w:t>
            </w:r>
          </w:p>
        </w:tc>
        <w:tc>
          <w:tcPr>
            <w:tcW w:w="891" w:type="pct"/>
            <w:vAlign w:val="center"/>
          </w:tcPr>
          <w:p w14:paraId="607DB07B"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£142</w:t>
            </w:r>
          </w:p>
        </w:tc>
      </w:tr>
      <w:tr w:rsidR="00FE37DB" w:rsidRPr="00A20A17" w14:paraId="2225CF8F" w14:textId="77777777" w:rsidTr="00A80B48">
        <w:trPr>
          <w:trHeight w:val="296"/>
        </w:trPr>
        <w:tc>
          <w:tcPr>
            <w:tcW w:w="2045" w:type="pct"/>
            <w:vAlign w:val="center"/>
            <w:hideMark/>
          </w:tcPr>
          <w:p w14:paraId="778B2CC9" w14:textId="77777777" w:rsidR="00FE37DB" w:rsidRPr="00A20A17" w:rsidRDefault="00FE37DB" w:rsidP="00A80B48">
            <w:pPr>
              <w:spacing w:after="0" w:line="240" w:lineRule="auto"/>
              <w:rPr>
                <w:rFonts w:ascii="Calibri" w:hAnsi="Calibri" w:cs="Calibri"/>
                <w:color w:val="000000"/>
                <w:lang w:eastAsia="en-GB"/>
              </w:rPr>
            </w:pPr>
            <w:r w:rsidRPr="00A20A17">
              <w:rPr>
                <w:rFonts w:ascii="Calibri" w:hAnsi="Calibri" w:cs="Calibri"/>
                <w:color w:val="000000"/>
                <w:lang w:eastAsia="en-GB"/>
              </w:rPr>
              <w:t>Secondary care Year 2+: number of appointments (&amp; lipid tests)</w:t>
            </w:r>
          </w:p>
        </w:tc>
        <w:tc>
          <w:tcPr>
            <w:tcW w:w="1172" w:type="pct"/>
            <w:noWrap/>
            <w:vAlign w:val="center"/>
            <w:hideMark/>
          </w:tcPr>
          <w:p w14:paraId="314224D0"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1.0</w:t>
            </w:r>
          </w:p>
        </w:tc>
        <w:tc>
          <w:tcPr>
            <w:tcW w:w="892" w:type="pct"/>
            <w:vAlign w:val="center"/>
          </w:tcPr>
          <w:p w14:paraId="518B1AE6"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£170</w:t>
            </w:r>
          </w:p>
        </w:tc>
        <w:tc>
          <w:tcPr>
            <w:tcW w:w="891" w:type="pct"/>
            <w:vAlign w:val="center"/>
          </w:tcPr>
          <w:p w14:paraId="6093D380"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£43</w:t>
            </w:r>
          </w:p>
        </w:tc>
      </w:tr>
      <w:tr w:rsidR="00FE37DB" w:rsidRPr="00A20A17" w14:paraId="14C9577E" w14:textId="77777777" w:rsidTr="00A80B48">
        <w:trPr>
          <w:trHeight w:val="296"/>
        </w:trPr>
        <w:tc>
          <w:tcPr>
            <w:tcW w:w="5000" w:type="pct"/>
            <w:gridSpan w:val="4"/>
            <w:shd w:val="clear" w:color="auto" w:fill="E7E6E6"/>
            <w:vAlign w:val="center"/>
            <w:hideMark/>
          </w:tcPr>
          <w:p w14:paraId="1F9876AB" w14:textId="77777777" w:rsidR="00FE37DB" w:rsidRPr="00A20A17" w:rsidRDefault="00FE37DB" w:rsidP="00A80B48">
            <w:pPr>
              <w:spacing w:after="0" w:line="240" w:lineRule="auto"/>
              <w:rPr>
                <w:rFonts w:ascii="Calibri" w:hAnsi="Calibri" w:cs="Calibri"/>
                <w:color w:val="000000"/>
                <w:lang w:eastAsia="en-GB"/>
              </w:rPr>
            </w:pPr>
            <w:r w:rsidRPr="00A20A17">
              <w:rPr>
                <w:rFonts w:ascii="Calibri" w:hAnsi="Calibri" w:cs="Calibri"/>
                <w:color w:val="000000"/>
                <w:lang w:eastAsia="en-GB"/>
              </w:rPr>
              <w:t>Children and adolescents: not treated post diagnosis</w:t>
            </w:r>
          </w:p>
          <w:p w14:paraId="370D502B" w14:textId="77777777" w:rsidR="00FE37DB" w:rsidRPr="00A20A17" w:rsidRDefault="00FE37DB" w:rsidP="00A80B48">
            <w:pPr>
              <w:spacing w:after="0" w:line="240" w:lineRule="auto"/>
              <w:rPr>
                <w:rFonts w:ascii="Calibri" w:hAnsi="Calibri" w:cs="Calibri"/>
                <w:color w:val="000000"/>
                <w:lang w:eastAsia="en-GB"/>
              </w:rPr>
            </w:pPr>
            <w:r w:rsidRPr="00A20A17">
              <w:rPr>
                <w:rFonts w:ascii="Calibri" w:hAnsi="Calibri" w:cs="Calibri"/>
                <w:color w:val="000000"/>
                <w:lang w:eastAsia="en-GB"/>
              </w:rPr>
              <w:t> </w:t>
            </w:r>
          </w:p>
        </w:tc>
      </w:tr>
      <w:tr w:rsidR="00FE37DB" w:rsidRPr="00A20A17" w14:paraId="1DF86F35" w14:textId="77777777" w:rsidTr="00A80B48">
        <w:trPr>
          <w:trHeight w:val="296"/>
        </w:trPr>
        <w:tc>
          <w:tcPr>
            <w:tcW w:w="2045" w:type="pct"/>
            <w:vAlign w:val="center"/>
            <w:hideMark/>
          </w:tcPr>
          <w:p w14:paraId="0B2E3666" w14:textId="77777777" w:rsidR="00FE37DB" w:rsidRPr="00A20A17" w:rsidRDefault="00FE37DB" w:rsidP="00A80B48">
            <w:pPr>
              <w:spacing w:after="0" w:line="240" w:lineRule="auto"/>
              <w:rPr>
                <w:rFonts w:ascii="Calibri" w:hAnsi="Calibri" w:cs="Calibri"/>
                <w:color w:val="000000"/>
                <w:lang w:eastAsia="en-GB"/>
              </w:rPr>
            </w:pPr>
            <w:r w:rsidRPr="00A20A17">
              <w:rPr>
                <w:rFonts w:ascii="Calibri" w:hAnsi="Calibri" w:cs="Calibri"/>
                <w:color w:val="000000"/>
                <w:lang w:eastAsia="en-GB"/>
              </w:rPr>
              <w:t>Year 1: number of appointments (&amp; lipid tests)</w:t>
            </w:r>
          </w:p>
        </w:tc>
        <w:tc>
          <w:tcPr>
            <w:tcW w:w="1172" w:type="pct"/>
            <w:noWrap/>
            <w:vAlign w:val="center"/>
            <w:hideMark/>
          </w:tcPr>
          <w:p w14:paraId="06E98E52"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1.0</w:t>
            </w:r>
          </w:p>
        </w:tc>
        <w:tc>
          <w:tcPr>
            <w:tcW w:w="892" w:type="pct"/>
            <w:vAlign w:val="center"/>
          </w:tcPr>
          <w:p w14:paraId="49059A28"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£272</w:t>
            </w:r>
          </w:p>
        </w:tc>
        <w:tc>
          <w:tcPr>
            <w:tcW w:w="891" w:type="pct"/>
            <w:vAlign w:val="center"/>
          </w:tcPr>
          <w:p w14:paraId="76F7DD79"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£69</w:t>
            </w:r>
          </w:p>
        </w:tc>
      </w:tr>
      <w:tr w:rsidR="00FE37DB" w:rsidRPr="00A20A17" w14:paraId="161A3A48" w14:textId="77777777" w:rsidTr="00A80B48">
        <w:trPr>
          <w:trHeight w:val="296"/>
        </w:trPr>
        <w:tc>
          <w:tcPr>
            <w:tcW w:w="2045" w:type="pct"/>
            <w:vAlign w:val="center"/>
            <w:hideMark/>
          </w:tcPr>
          <w:p w14:paraId="5ECF0EA8" w14:textId="77777777" w:rsidR="00FE37DB" w:rsidRPr="00A20A17" w:rsidRDefault="00FE37DB" w:rsidP="00A80B48">
            <w:pPr>
              <w:spacing w:after="0" w:line="240" w:lineRule="auto"/>
              <w:rPr>
                <w:rFonts w:ascii="Calibri" w:hAnsi="Calibri" w:cs="Calibri"/>
                <w:color w:val="000000"/>
                <w:lang w:eastAsia="en-GB"/>
              </w:rPr>
            </w:pPr>
            <w:r w:rsidRPr="00A20A17">
              <w:rPr>
                <w:rFonts w:ascii="Calibri" w:hAnsi="Calibri" w:cs="Calibri"/>
                <w:color w:val="000000"/>
                <w:lang w:eastAsia="en-GB"/>
              </w:rPr>
              <w:t>Year 2: number of appointments (&amp; lipid tests)</w:t>
            </w:r>
          </w:p>
        </w:tc>
        <w:tc>
          <w:tcPr>
            <w:tcW w:w="1172" w:type="pct"/>
            <w:noWrap/>
            <w:vAlign w:val="center"/>
            <w:hideMark/>
          </w:tcPr>
          <w:p w14:paraId="48722B08"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0.5</w:t>
            </w:r>
          </w:p>
        </w:tc>
        <w:tc>
          <w:tcPr>
            <w:tcW w:w="892" w:type="pct"/>
            <w:vAlign w:val="center"/>
          </w:tcPr>
          <w:p w14:paraId="5EE9B03D"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£112</w:t>
            </w:r>
          </w:p>
        </w:tc>
        <w:tc>
          <w:tcPr>
            <w:tcW w:w="891" w:type="pct"/>
            <w:vAlign w:val="center"/>
          </w:tcPr>
          <w:p w14:paraId="461B084D"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£29</w:t>
            </w:r>
          </w:p>
        </w:tc>
      </w:tr>
      <w:tr w:rsidR="00FE37DB" w:rsidRPr="00A20A17" w14:paraId="0899E738" w14:textId="77777777" w:rsidTr="00A80B48">
        <w:trPr>
          <w:trHeight w:val="296"/>
        </w:trPr>
        <w:tc>
          <w:tcPr>
            <w:tcW w:w="5000" w:type="pct"/>
            <w:gridSpan w:val="4"/>
            <w:shd w:val="clear" w:color="auto" w:fill="E7E6E6"/>
            <w:vAlign w:val="center"/>
            <w:hideMark/>
          </w:tcPr>
          <w:p w14:paraId="073A9A80" w14:textId="77777777" w:rsidR="00FE37DB" w:rsidRPr="00A20A17" w:rsidRDefault="00FE37DB" w:rsidP="00A80B48">
            <w:pPr>
              <w:spacing w:after="0" w:line="240" w:lineRule="auto"/>
              <w:rPr>
                <w:rFonts w:ascii="Calibri" w:hAnsi="Calibri" w:cs="Calibri"/>
                <w:color w:val="000000"/>
                <w:lang w:eastAsia="en-GB"/>
              </w:rPr>
            </w:pPr>
            <w:r w:rsidRPr="00A20A17">
              <w:rPr>
                <w:rFonts w:ascii="Calibri" w:hAnsi="Calibri" w:cs="Calibri"/>
                <w:color w:val="000000"/>
                <w:lang w:eastAsia="en-GB"/>
              </w:rPr>
              <w:t>Children and adolescents: treated post diagnosis</w:t>
            </w:r>
          </w:p>
          <w:p w14:paraId="6E45D8C5" w14:textId="77777777" w:rsidR="00FE37DB" w:rsidRPr="00A20A17" w:rsidRDefault="00FE37DB" w:rsidP="00A80B48">
            <w:pPr>
              <w:spacing w:after="0" w:line="240" w:lineRule="auto"/>
              <w:rPr>
                <w:rFonts w:ascii="Calibri" w:hAnsi="Calibri" w:cs="Calibri"/>
                <w:color w:val="000000"/>
                <w:lang w:eastAsia="en-GB"/>
              </w:rPr>
            </w:pPr>
            <w:r w:rsidRPr="00A20A17">
              <w:rPr>
                <w:rFonts w:ascii="Calibri" w:hAnsi="Calibri" w:cs="Calibri"/>
                <w:color w:val="000000"/>
                <w:lang w:eastAsia="en-GB"/>
              </w:rPr>
              <w:t> </w:t>
            </w:r>
          </w:p>
        </w:tc>
      </w:tr>
      <w:tr w:rsidR="00FE37DB" w:rsidRPr="00A20A17" w14:paraId="58339448" w14:textId="77777777" w:rsidTr="00A80B48">
        <w:trPr>
          <w:trHeight w:val="296"/>
        </w:trPr>
        <w:tc>
          <w:tcPr>
            <w:tcW w:w="2045" w:type="pct"/>
            <w:vAlign w:val="center"/>
            <w:hideMark/>
          </w:tcPr>
          <w:p w14:paraId="13480751" w14:textId="77777777" w:rsidR="00FE37DB" w:rsidRPr="00A20A17" w:rsidRDefault="00FE37DB" w:rsidP="00A80B48">
            <w:pPr>
              <w:spacing w:after="0" w:line="240" w:lineRule="auto"/>
              <w:rPr>
                <w:rFonts w:ascii="Calibri" w:hAnsi="Calibri" w:cs="Calibri"/>
                <w:color w:val="000000"/>
                <w:lang w:eastAsia="en-GB"/>
              </w:rPr>
            </w:pPr>
            <w:r w:rsidRPr="00A20A17">
              <w:rPr>
                <w:rFonts w:ascii="Calibri" w:hAnsi="Calibri" w:cs="Calibri"/>
                <w:color w:val="000000"/>
                <w:lang w:eastAsia="en-GB"/>
              </w:rPr>
              <w:t>Year 1: number of appointments (&amp; lipid tests)</w:t>
            </w:r>
          </w:p>
        </w:tc>
        <w:tc>
          <w:tcPr>
            <w:tcW w:w="1172" w:type="pct"/>
            <w:noWrap/>
            <w:vAlign w:val="center"/>
            <w:hideMark/>
          </w:tcPr>
          <w:p w14:paraId="4D4D7C33"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3.0</w:t>
            </w:r>
          </w:p>
        </w:tc>
        <w:tc>
          <w:tcPr>
            <w:tcW w:w="892" w:type="pct"/>
            <w:vAlign w:val="center"/>
          </w:tcPr>
          <w:p w14:paraId="30A29F33"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£723</w:t>
            </w:r>
          </w:p>
        </w:tc>
        <w:tc>
          <w:tcPr>
            <w:tcW w:w="891" w:type="pct"/>
            <w:vAlign w:val="center"/>
          </w:tcPr>
          <w:p w14:paraId="69C225DE"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£184</w:t>
            </w:r>
          </w:p>
        </w:tc>
      </w:tr>
      <w:tr w:rsidR="00FE37DB" w:rsidRPr="00A20A17" w14:paraId="3FFE51BD" w14:textId="77777777" w:rsidTr="00A80B48">
        <w:trPr>
          <w:trHeight w:val="296"/>
        </w:trPr>
        <w:tc>
          <w:tcPr>
            <w:tcW w:w="2045" w:type="pct"/>
            <w:vAlign w:val="center"/>
            <w:hideMark/>
          </w:tcPr>
          <w:p w14:paraId="4DCC77CE" w14:textId="77777777" w:rsidR="00FE37DB" w:rsidRPr="00A20A17" w:rsidRDefault="00FE37DB" w:rsidP="00A80B48">
            <w:pPr>
              <w:spacing w:after="0" w:line="240" w:lineRule="auto"/>
              <w:rPr>
                <w:rFonts w:ascii="Calibri" w:hAnsi="Calibri" w:cs="Calibri"/>
                <w:color w:val="000000"/>
                <w:lang w:eastAsia="en-GB"/>
              </w:rPr>
            </w:pPr>
            <w:r w:rsidRPr="00A20A17">
              <w:rPr>
                <w:rFonts w:ascii="Calibri" w:hAnsi="Calibri" w:cs="Calibri"/>
                <w:color w:val="000000"/>
                <w:lang w:eastAsia="en-GB"/>
              </w:rPr>
              <w:t>Year 2: number of appointments (&amp; lipid tests)</w:t>
            </w:r>
          </w:p>
        </w:tc>
        <w:tc>
          <w:tcPr>
            <w:tcW w:w="1172" w:type="pct"/>
            <w:noWrap/>
            <w:vAlign w:val="center"/>
            <w:hideMark/>
          </w:tcPr>
          <w:p w14:paraId="381CF806"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1.5</w:t>
            </w:r>
          </w:p>
        </w:tc>
        <w:tc>
          <w:tcPr>
            <w:tcW w:w="892" w:type="pct"/>
            <w:vAlign w:val="center"/>
          </w:tcPr>
          <w:p w14:paraId="4A63BE05"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£336</w:t>
            </w:r>
          </w:p>
        </w:tc>
        <w:tc>
          <w:tcPr>
            <w:tcW w:w="891" w:type="pct"/>
            <w:vAlign w:val="center"/>
          </w:tcPr>
          <w:p w14:paraId="6F7D965D"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£86</w:t>
            </w:r>
          </w:p>
        </w:tc>
      </w:tr>
      <w:tr w:rsidR="00FE37DB" w:rsidRPr="00A20A17" w14:paraId="77285B8A" w14:textId="77777777" w:rsidTr="00A80B48">
        <w:trPr>
          <w:trHeight w:val="296"/>
        </w:trPr>
        <w:tc>
          <w:tcPr>
            <w:tcW w:w="5000" w:type="pct"/>
            <w:gridSpan w:val="4"/>
            <w:vAlign w:val="center"/>
          </w:tcPr>
          <w:p w14:paraId="1A92A57E" w14:textId="77777777" w:rsidR="00FE37DB" w:rsidRPr="00A20A17" w:rsidRDefault="00FE37DB" w:rsidP="00A80B48">
            <w:pPr>
              <w:tabs>
                <w:tab w:val="left" w:pos="525"/>
              </w:tabs>
              <w:spacing w:after="0" w:line="240" w:lineRule="auto"/>
              <w:rPr>
                <w:rFonts w:ascii="Calibri" w:hAnsi="Calibri" w:cs="Calibri"/>
                <w:color w:val="000000"/>
                <w:lang w:eastAsia="en-GB"/>
              </w:rPr>
            </w:pPr>
            <w:r w:rsidRPr="00A20A17">
              <w:rPr>
                <w:rFonts w:ascii="Calibri" w:hAnsi="Calibri" w:cs="Calibri"/>
                <w:color w:val="000000"/>
                <w:lang w:eastAsia="en-GB"/>
              </w:rPr>
              <w:t>[1] Standard error calculated assuming that 95% CI correspond to +/- 50% mean.</w:t>
            </w:r>
          </w:p>
          <w:p w14:paraId="06E3807C" w14:textId="77777777" w:rsidR="00FE37DB" w:rsidRPr="00A20A17" w:rsidRDefault="00FE37DB" w:rsidP="00A80B48">
            <w:pPr>
              <w:tabs>
                <w:tab w:val="left" w:pos="525"/>
              </w:tabs>
              <w:spacing w:after="0" w:line="240" w:lineRule="auto"/>
              <w:rPr>
                <w:rFonts w:ascii="Calibri" w:hAnsi="Calibri" w:cs="Calibri"/>
                <w:color w:val="000000"/>
                <w:lang w:eastAsia="en-GB"/>
              </w:rPr>
            </w:pPr>
            <w:r w:rsidRPr="00A20A17">
              <w:rPr>
                <w:rFonts w:ascii="Calibri" w:hAnsi="Calibri" w:cs="Calibri"/>
                <w:color w:val="000000"/>
                <w:lang w:eastAsia="en-GB"/>
              </w:rPr>
              <w:t>Distribution for the probabilistic sensitivity analysis: Gamma.</w:t>
            </w:r>
          </w:p>
          <w:p w14:paraId="60C4C0E1" w14:textId="77777777" w:rsidR="00FE37DB" w:rsidRPr="00A20A17" w:rsidRDefault="00FE37DB" w:rsidP="00A80B48">
            <w:pPr>
              <w:tabs>
                <w:tab w:val="left" w:pos="525"/>
              </w:tabs>
              <w:spacing w:after="0" w:line="240" w:lineRule="auto"/>
              <w:jc w:val="right"/>
              <w:rPr>
                <w:rFonts w:ascii="Calibri" w:hAnsi="Calibri" w:cs="Calibri"/>
                <w:color w:val="000000"/>
                <w:lang w:eastAsia="en-GB"/>
              </w:rPr>
            </w:pPr>
          </w:p>
        </w:tc>
      </w:tr>
    </w:tbl>
    <w:p w14:paraId="624CBB3C" w14:textId="77777777" w:rsidR="00FE37DB" w:rsidRPr="00A20A17" w:rsidRDefault="00FE37DB" w:rsidP="00FE37DB">
      <w:pPr>
        <w:spacing w:before="120" w:after="120"/>
        <w:rPr>
          <w:rFonts w:ascii="Calibri" w:eastAsia="Calibri" w:hAnsi="Calibri" w:cs="Arial"/>
        </w:rPr>
      </w:pPr>
    </w:p>
    <w:p w14:paraId="34B7E19C" w14:textId="77777777" w:rsidR="00FE37DB" w:rsidRPr="00A20A17" w:rsidRDefault="00FE37DB" w:rsidP="00FE37DB">
      <w:pPr>
        <w:spacing w:after="120" w:line="240" w:lineRule="auto"/>
        <w:rPr>
          <w:rFonts w:ascii="Calibri" w:eastAsia="Calibri" w:hAnsi="Calibri" w:cs="Arial"/>
          <w:i/>
          <w:iCs/>
          <w:color w:val="44546A"/>
          <w:sz w:val="18"/>
          <w:szCs w:val="18"/>
        </w:rPr>
      </w:pPr>
      <w:r w:rsidRPr="00A20A17">
        <w:rPr>
          <w:rFonts w:ascii="Calibri" w:eastAsia="Calibri" w:hAnsi="Calibri" w:cs="Arial"/>
        </w:rPr>
        <w:br w:type="page"/>
      </w:r>
    </w:p>
    <w:p w14:paraId="0D56FE55" w14:textId="77777777" w:rsidR="00FE37DB" w:rsidRPr="00A20A17" w:rsidRDefault="00FE37DB" w:rsidP="00FE37DB">
      <w:pPr>
        <w:keepNext/>
        <w:spacing w:before="120"/>
        <w:rPr>
          <w:rFonts w:ascii="Calibri" w:eastAsia="Calibri" w:hAnsi="Calibri" w:cs="Arial"/>
          <w:i/>
          <w:iCs/>
          <w:color w:val="44546A"/>
          <w:sz w:val="18"/>
          <w:szCs w:val="18"/>
        </w:rPr>
      </w:pPr>
      <w:r w:rsidRPr="00A20A17">
        <w:rPr>
          <w:rFonts w:ascii="Calibri" w:eastAsia="Calibri" w:hAnsi="Calibri" w:cs="Arial"/>
          <w:i/>
          <w:iCs/>
          <w:color w:val="44546A"/>
          <w:sz w:val="18"/>
          <w:szCs w:val="18"/>
        </w:rPr>
        <w:t xml:space="preserve">Table </w:t>
      </w:r>
      <w:r w:rsidRPr="00A20A17">
        <w:rPr>
          <w:rFonts w:ascii="Calibri" w:eastAsia="Calibri" w:hAnsi="Calibri" w:cs="Arial"/>
          <w:i/>
          <w:iCs/>
          <w:color w:val="44546A"/>
          <w:sz w:val="18"/>
          <w:szCs w:val="18"/>
        </w:rPr>
        <w:fldChar w:fldCharType="begin"/>
      </w:r>
      <w:r w:rsidRPr="00A20A17">
        <w:rPr>
          <w:rFonts w:ascii="Calibri" w:eastAsia="Calibri" w:hAnsi="Calibri" w:cs="Arial"/>
          <w:i/>
          <w:iCs/>
          <w:color w:val="44546A"/>
          <w:sz w:val="18"/>
          <w:szCs w:val="18"/>
        </w:rPr>
        <w:instrText>SEQ Table \* ARABIC</w:instrText>
      </w:r>
      <w:r w:rsidRPr="00A20A17">
        <w:rPr>
          <w:rFonts w:ascii="Calibri" w:eastAsia="Calibri" w:hAnsi="Calibri" w:cs="Arial"/>
          <w:i/>
          <w:iCs/>
          <w:color w:val="44546A"/>
          <w:sz w:val="18"/>
          <w:szCs w:val="18"/>
        </w:rPr>
        <w:fldChar w:fldCharType="separate"/>
      </w:r>
      <w:r w:rsidRPr="00A20A17">
        <w:rPr>
          <w:rFonts w:ascii="Calibri" w:eastAsia="Calibri" w:hAnsi="Calibri" w:cs="Arial"/>
          <w:i/>
          <w:iCs/>
          <w:noProof/>
          <w:color w:val="44546A"/>
          <w:sz w:val="18"/>
          <w:szCs w:val="18"/>
        </w:rPr>
        <w:t>12</w:t>
      </w:r>
      <w:r w:rsidRPr="00A20A17">
        <w:rPr>
          <w:rFonts w:ascii="Calibri" w:eastAsia="Calibri" w:hAnsi="Calibri" w:cs="Arial"/>
          <w:i/>
          <w:iCs/>
          <w:color w:val="44546A"/>
          <w:sz w:val="18"/>
          <w:szCs w:val="18"/>
        </w:rPr>
        <w:fldChar w:fldCharType="end"/>
      </w:r>
      <w:r w:rsidRPr="00A20A17">
        <w:rPr>
          <w:rFonts w:ascii="Calibri" w:eastAsia="Calibri" w:hAnsi="Calibri" w:cs="Arial"/>
          <w:i/>
          <w:iCs/>
          <w:color w:val="44546A"/>
          <w:sz w:val="18"/>
          <w:szCs w:val="18"/>
        </w:rPr>
        <w:t>: Unit costs to calculate the costs of blood tests</w:t>
      </w:r>
    </w:p>
    <w:tbl>
      <w:tblPr>
        <w:tblStyle w:val="TableGrid2"/>
        <w:tblW w:w="0" w:type="auto"/>
        <w:tblLook w:val="04A0" w:firstRow="1" w:lastRow="0" w:firstColumn="1" w:lastColumn="0" w:noHBand="0" w:noVBand="1"/>
      </w:tblPr>
      <w:tblGrid>
        <w:gridCol w:w="4073"/>
        <w:gridCol w:w="843"/>
        <w:gridCol w:w="1769"/>
        <w:gridCol w:w="2331"/>
      </w:tblGrid>
      <w:tr w:rsidR="00FE37DB" w:rsidRPr="00A20A17" w14:paraId="4F09F5A3" w14:textId="77777777" w:rsidTr="00A80B48">
        <w:trPr>
          <w:trHeight w:val="300"/>
        </w:trPr>
        <w:tc>
          <w:tcPr>
            <w:tcW w:w="0" w:type="auto"/>
            <w:noWrap/>
          </w:tcPr>
          <w:p w14:paraId="5D67C27E"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 xml:space="preserve">Item </w:t>
            </w:r>
          </w:p>
        </w:tc>
        <w:tc>
          <w:tcPr>
            <w:tcW w:w="0" w:type="auto"/>
          </w:tcPr>
          <w:p w14:paraId="709D3DC7"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Unit cost</w:t>
            </w:r>
          </w:p>
        </w:tc>
        <w:tc>
          <w:tcPr>
            <w:tcW w:w="0" w:type="auto"/>
          </w:tcPr>
          <w:p w14:paraId="5B57EB9C"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First year of treatment</w:t>
            </w:r>
          </w:p>
        </w:tc>
        <w:tc>
          <w:tcPr>
            <w:tcW w:w="0" w:type="auto"/>
          </w:tcPr>
          <w:p w14:paraId="56F6A44D"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Subsequent years of treatment</w:t>
            </w:r>
          </w:p>
        </w:tc>
      </w:tr>
      <w:tr w:rsidR="00FE37DB" w:rsidRPr="00A20A17" w14:paraId="675D8C47" w14:textId="77777777" w:rsidTr="00A80B48">
        <w:trPr>
          <w:trHeight w:val="300"/>
        </w:trPr>
        <w:tc>
          <w:tcPr>
            <w:tcW w:w="0" w:type="auto"/>
            <w:noWrap/>
          </w:tcPr>
          <w:p w14:paraId="4C215BFC"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Appointment with healthcare assistant to take blood</w:t>
            </w:r>
          </w:p>
        </w:tc>
        <w:tc>
          <w:tcPr>
            <w:tcW w:w="0" w:type="auto"/>
          </w:tcPr>
          <w:p w14:paraId="36D2B05C"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£7.05</w:t>
            </w:r>
          </w:p>
        </w:tc>
        <w:tc>
          <w:tcPr>
            <w:tcW w:w="0" w:type="auto"/>
          </w:tcPr>
          <w:p w14:paraId="4BC47CC8"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1</w:t>
            </w:r>
          </w:p>
        </w:tc>
        <w:tc>
          <w:tcPr>
            <w:tcW w:w="0" w:type="auto"/>
          </w:tcPr>
          <w:p w14:paraId="4BF3E9CF"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1</w:t>
            </w:r>
          </w:p>
        </w:tc>
      </w:tr>
      <w:tr w:rsidR="00FE37DB" w:rsidRPr="00A20A17" w14:paraId="20A349F9" w14:textId="77777777" w:rsidTr="00A80B48">
        <w:trPr>
          <w:trHeight w:val="300"/>
        </w:trPr>
        <w:tc>
          <w:tcPr>
            <w:tcW w:w="0" w:type="auto"/>
            <w:noWrap/>
          </w:tcPr>
          <w:p w14:paraId="0ADB7715"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Total cholesterol test</w:t>
            </w:r>
          </w:p>
        </w:tc>
        <w:tc>
          <w:tcPr>
            <w:tcW w:w="0" w:type="auto"/>
            <w:vAlign w:val="bottom"/>
          </w:tcPr>
          <w:p w14:paraId="20741AB3"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£1.09</w:t>
            </w:r>
          </w:p>
        </w:tc>
        <w:tc>
          <w:tcPr>
            <w:tcW w:w="0" w:type="auto"/>
          </w:tcPr>
          <w:p w14:paraId="2131161A"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1</w:t>
            </w:r>
          </w:p>
        </w:tc>
        <w:tc>
          <w:tcPr>
            <w:tcW w:w="0" w:type="auto"/>
          </w:tcPr>
          <w:p w14:paraId="7329AB73"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1</w:t>
            </w:r>
          </w:p>
        </w:tc>
      </w:tr>
      <w:tr w:rsidR="00FE37DB" w:rsidRPr="00A20A17" w14:paraId="6A542F9D" w14:textId="77777777" w:rsidTr="00A80B48">
        <w:trPr>
          <w:trHeight w:val="300"/>
        </w:trPr>
        <w:tc>
          <w:tcPr>
            <w:tcW w:w="0" w:type="auto"/>
            <w:noWrap/>
          </w:tcPr>
          <w:p w14:paraId="33599E37"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High Density Lipoprotein cholesterol test</w:t>
            </w:r>
          </w:p>
        </w:tc>
        <w:tc>
          <w:tcPr>
            <w:tcW w:w="0" w:type="auto"/>
            <w:vAlign w:val="bottom"/>
          </w:tcPr>
          <w:p w14:paraId="101765C5"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£1.09</w:t>
            </w:r>
          </w:p>
        </w:tc>
        <w:tc>
          <w:tcPr>
            <w:tcW w:w="0" w:type="auto"/>
          </w:tcPr>
          <w:p w14:paraId="6CA7FC79"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1</w:t>
            </w:r>
          </w:p>
        </w:tc>
        <w:tc>
          <w:tcPr>
            <w:tcW w:w="0" w:type="auto"/>
          </w:tcPr>
          <w:p w14:paraId="038D99DC"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1</w:t>
            </w:r>
          </w:p>
        </w:tc>
      </w:tr>
      <w:tr w:rsidR="00FE37DB" w:rsidRPr="00A20A17" w14:paraId="7E7FF063" w14:textId="77777777" w:rsidTr="00A80B48">
        <w:trPr>
          <w:trHeight w:val="300"/>
        </w:trPr>
        <w:tc>
          <w:tcPr>
            <w:tcW w:w="0" w:type="auto"/>
            <w:noWrap/>
          </w:tcPr>
          <w:p w14:paraId="3AB377B2"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Transaminase test</w:t>
            </w:r>
          </w:p>
        </w:tc>
        <w:tc>
          <w:tcPr>
            <w:tcW w:w="0" w:type="auto"/>
            <w:vAlign w:val="bottom"/>
          </w:tcPr>
          <w:p w14:paraId="1203C374"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£1.09</w:t>
            </w:r>
          </w:p>
        </w:tc>
        <w:tc>
          <w:tcPr>
            <w:tcW w:w="0" w:type="auto"/>
          </w:tcPr>
          <w:p w14:paraId="356E002C"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1</w:t>
            </w:r>
          </w:p>
        </w:tc>
        <w:tc>
          <w:tcPr>
            <w:tcW w:w="0" w:type="auto"/>
          </w:tcPr>
          <w:p w14:paraId="58097951"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0</w:t>
            </w:r>
          </w:p>
        </w:tc>
      </w:tr>
      <w:tr w:rsidR="00FE37DB" w:rsidRPr="00A20A17" w14:paraId="4F40F580" w14:textId="77777777" w:rsidTr="00A80B48">
        <w:trPr>
          <w:trHeight w:val="300"/>
        </w:trPr>
        <w:tc>
          <w:tcPr>
            <w:tcW w:w="0" w:type="auto"/>
            <w:noWrap/>
          </w:tcPr>
          <w:p w14:paraId="0D360F9D"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HbA1c test</w:t>
            </w:r>
          </w:p>
        </w:tc>
        <w:tc>
          <w:tcPr>
            <w:tcW w:w="0" w:type="auto"/>
            <w:vAlign w:val="bottom"/>
          </w:tcPr>
          <w:p w14:paraId="6E01A112"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£2.46</w:t>
            </w:r>
          </w:p>
        </w:tc>
        <w:tc>
          <w:tcPr>
            <w:tcW w:w="0" w:type="auto"/>
          </w:tcPr>
          <w:p w14:paraId="4F8D21BB"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1</w:t>
            </w:r>
          </w:p>
        </w:tc>
        <w:tc>
          <w:tcPr>
            <w:tcW w:w="0" w:type="auto"/>
          </w:tcPr>
          <w:p w14:paraId="7453D5E0"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1</w:t>
            </w:r>
          </w:p>
        </w:tc>
      </w:tr>
      <w:tr w:rsidR="00FE37DB" w:rsidRPr="00A20A17" w14:paraId="7B8D5552" w14:textId="77777777" w:rsidTr="00A80B48">
        <w:trPr>
          <w:trHeight w:val="300"/>
        </w:trPr>
        <w:tc>
          <w:tcPr>
            <w:tcW w:w="0" w:type="auto"/>
            <w:gridSpan w:val="2"/>
            <w:noWrap/>
          </w:tcPr>
          <w:p w14:paraId="0A17048C"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 xml:space="preserve">Cost of blood test </w:t>
            </w:r>
          </w:p>
        </w:tc>
        <w:tc>
          <w:tcPr>
            <w:tcW w:w="0" w:type="auto"/>
          </w:tcPr>
          <w:p w14:paraId="3016288E"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£12.79</w:t>
            </w:r>
          </w:p>
        </w:tc>
        <w:tc>
          <w:tcPr>
            <w:tcW w:w="0" w:type="auto"/>
          </w:tcPr>
          <w:p w14:paraId="5D1EA42E"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£11.70</w:t>
            </w:r>
          </w:p>
        </w:tc>
      </w:tr>
      <w:tr w:rsidR="00FE37DB" w:rsidRPr="00A20A17" w14:paraId="761CC49B" w14:textId="77777777" w:rsidTr="00A80B48">
        <w:trPr>
          <w:trHeight w:val="300"/>
        </w:trPr>
        <w:tc>
          <w:tcPr>
            <w:tcW w:w="0" w:type="auto"/>
            <w:gridSpan w:val="4"/>
            <w:noWrap/>
          </w:tcPr>
          <w:p w14:paraId="780F181B"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 xml:space="preserve">Source: NICE CG181 </w:t>
            </w:r>
            <w:r w:rsidRPr="00A20A17">
              <w:rPr>
                <w:rFonts w:ascii="Calibri" w:eastAsia="Calibri" w:hAnsi="Calibri" w:cs="Calibri"/>
                <w:sz w:val="18"/>
                <w:szCs w:val="18"/>
              </w:rPr>
              <w:fldChar w:fldCharType="begin"/>
            </w:r>
            <w:r w:rsidRPr="00A20A17">
              <w:rPr>
                <w:rFonts w:ascii="Calibri" w:eastAsia="Calibri" w:hAnsi="Calibri" w:cs="Calibri"/>
                <w:sz w:val="18"/>
                <w:szCs w:val="18"/>
              </w:rPr>
              <w:instrText xml:space="preserve"> ADDIN EN.CITE &lt;EndNote&gt;&lt;Cite&gt;&lt;Author&gt;NICE&lt;/Author&gt;&lt;Year&gt;2014&lt;/Year&gt;&lt;IDText&gt;Clinical guideline 181. Lipid modification: cardiovascular risk assessment and the modification of blood lipids for the primary and secondary prevention of cardiovascular disease&lt;/IDText&gt;&lt;DisplayText&gt;&lt;style face="superscript"&gt;12&lt;/style&gt;&lt;/DisplayText&gt;&lt;record&gt;&lt;titles&gt;&lt;title&gt;Clinical guideline 181. Lipid modification: cardiovascular risk assessment and the modification of blood lipids for the primary and secondary prevention of cardiovascular disease&lt;/title&gt;&lt;short-title&gt;Clinical guideline 181. Lipid modification: cardiovascular risk assessment and the modification of blood lipids for the primary and secondary prevention of cardiovascular disease&lt;/short-title&gt;&lt;/titles&gt;&lt;contributors&gt;&lt;authors&gt;&lt;author&gt;NICE&lt;/author&gt;&lt;/authors&gt;&lt;/contributors&gt;&lt;added-date format="utc"&gt;1603453281&lt;/added-date&gt;&lt;ref-type name="Report"&gt;27&lt;/ref-type&gt;&lt;dates&gt;&lt;year&gt;2014&lt;/year&gt;&lt;/dates&gt;&lt;rec-number&gt;62&lt;/rec-number&gt;&lt;last-updated-date format="utc"&gt;1603453281&lt;/last-updated-date&gt;&lt;/record&gt;&lt;/Cite&gt;&lt;/EndNote&gt;</w:instrText>
            </w:r>
            <w:r w:rsidRPr="00A20A17">
              <w:rPr>
                <w:rFonts w:ascii="Calibri" w:eastAsia="Calibri" w:hAnsi="Calibri" w:cs="Calibri"/>
                <w:sz w:val="18"/>
                <w:szCs w:val="18"/>
              </w:rPr>
              <w:fldChar w:fldCharType="separate"/>
            </w:r>
            <w:r w:rsidRPr="00A20A17">
              <w:rPr>
                <w:rFonts w:ascii="Calibri" w:eastAsia="Calibri" w:hAnsi="Calibri" w:cs="Calibri"/>
                <w:noProof/>
                <w:sz w:val="18"/>
                <w:szCs w:val="18"/>
                <w:vertAlign w:val="superscript"/>
              </w:rPr>
              <w:t>12</w:t>
            </w:r>
            <w:r w:rsidRPr="00A20A17">
              <w:rPr>
                <w:rFonts w:ascii="Calibri" w:eastAsia="Calibri" w:hAnsi="Calibri" w:cs="Calibri"/>
                <w:sz w:val="18"/>
                <w:szCs w:val="18"/>
              </w:rPr>
              <w:fldChar w:fldCharType="end"/>
            </w:r>
            <w:r w:rsidRPr="00A20A17">
              <w:rPr>
                <w:rFonts w:ascii="Calibri" w:eastAsia="Calibri" w:hAnsi="Calibri" w:cs="Calibri"/>
                <w:sz w:val="18"/>
                <w:szCs w:val="18"/>
              </w:rPr>
              <w:t xml:space="preserve">, updated to 2019 prices </w:t>
            </w:r>
            <w:r w:rsidRPr="00A20A17">
              <w:rPr>
                <w:rFonts w:ascii="Calibri" w:eastAsia="Calibri" w:hAnsi="Calibri" w:cs="Calibri"/>
                <w:sz w:val="18"/>
                <w:szCs w:val="18"/>
              </w:rPr>
              <w:fldChar w:fldCharType="begin"/>
            </w:r>
            <w:r w:rsidRPr="00A20A17">
              <w:rPr>
                <w:rFonts w:ascii="Calibri" w:eastAsia="Calibri" w:hAnsi="Calibri" w:cs="Calibri"/>
                <w:sz w:val="18"/>
                <w:szCs w:val="18"/>
              </w:rPr>
              <w:instrText xml:space="preserve"> ADDIN EN.CITE &lt;EndNote&gt;&lt;Cite&gt;&lt;Author&gt;Curtis&lt;/Author&gt;&lt;Year&gt;2019&lt;/Year&gt;&lt;IDText&gt;Unit Costs of Health and Social Care 2019&lt;/IDText&gt;&lt;DisplayText&gt;&lt;style face="superscript"&gt;20,21&lt;/style&gt;&lt;/DisplayText&gt;&lt;record&gt;&lt;titles&gt;&lt;title&gt;Unit Costs of Health and Social Care 2019&lt;/title&gt;&lt;/titles&gt;&lt;contributors&gt;&lt;authors&gt;&lt;author&gt;Curtis, L.&lt;/author&gt;&lt;author&gt;Burns, A.&lt;/author&gt;&lt;/authors&gt;&lt;/contributors&gt;&lt;added-date format="utc"&gt;1621866811&lt;/added-date&gt;&lt;pub-location&gt;Canterbury&lt;/pub-location&gt;&lt;ref-type name="Book"&gt;6&lt;/ref-type&gt;&lt;dates&gt;&lt;year&gt;2019&lt;/year&gt;&lt;/dates&gt;&lt;rec-number&gt;6&lt;/rec-number&gt;&lt;publisher&gt;Personal Social Services Research Unit, University of Kent&lt;/publisher&gt;&lt;last-updated-date format="utc"&gt;1621866862&lt;/last-updated-date&gt;&lt;electronic-resource-num&gt;  10.22024/UniKent/01.02.79286&lt;/electronic-resource-num&gt;&lt;/record&gt;&lt;/Cite&gt;&lt;Cite&gt;&lt;Author&gt;NHS England and NHS Improvement&lt;/Author&gt;&lt;Year&gt;2020&lt;/Year&gt;&lt;IDText&gt;National schedule of NHS costs 2019&lt;/IDText&gt;&lt;record&gt;&lt;urls&gt;&lt;related-urls&gt;&lt;url&gt;https://www.england.nhs.uk/wp-content/uploads/2020/08/2_-_National_schedule_of_NHS_costs_V2.xlsx&lt;/url&gt;&lt;/related-urls&gt;&lt;/urls&gt;&lt;titles&gt;&lt;title&gt;National schedule of NHS costs 2019&lt;/title&gt;&lt;/titles&gt;&lt;access-date&gt;24/05/2021&lt;/access-date&gt;&lt;contributors&gt;&lt;authors&gt;&lt;author&gt;NHS England and NHS Improvement,&lt;/author&gt;&lt;/authors&gt;&lt;/contributors&gt;&lt;added-date format="utc"&gt;1621867475&lt;/added-date&gt;&lt;ref-type name="Dataset"&gt;59&lt;/ref-type&gt;&lt;dates&gt;&lt;year&gt;2020&lt;/year&gt;&lt;/dates&gt;&lt;rec-number&gt;194&lt;/rec-number&gt;&lt;last-updated-date format="utc"&gt;1621867475&lt;/last-updated-date&gt;&lt;/record&gt;&lt;/Cite&gt;&lt;/EndNote&gt;</w:instrText>
            </w:r>
            <w:r w:rsidRPr="00A20A17">
              <w:rPr>
                <w:rFonts w:ascii="Calibri" w:eastAsia="Calibri" w:hAnsi="Calibri" w:cs="Calibri"/>
                <w:sz w:val="18"/>
                <w:szCs w:val="18"/>
              </w:rPr>
              <w:fldChar w:fldCharType="separate"/>
            </w:r>
            <w:r w:rsidRPr="00A20A17">
              <w:rPr>
                <w:rFonts w:ascii="Calibri" w:eastAsia="Calibri" w:hAnsi="Calibri" w:cs="Calibri"/>
                <w:noProof/>
                <w:sz w:val="18"/>
                <w:szCs w:val="18"/>
                <w:vertAlign w:val="superscript"/>
              </w:rPr>
              <w:t>20,21</w:t>
            </w:r>
            <w:r w:rsidRPr="00A20A17">
              <w:rPr>
                <w:rFonts w:ascii="Calibri" w:eastAsia="Calibri" w:hAnsi="Calibri" w:cs="Calibri"/>
                <w:sz w:val="18"/>
                <w:szCs w:val="18"/>
              </w:rPr>
              <w:fldChar w:fldCharType="end"/>
            </w:r>
          </w:p>
        </w:tc>
      </w:tr>
    </w:tbl>
    <w:p w14:paraId="48AF77CD" w14:textId="77777777" w:rsidR="00FE37DB" w:rsidRPr="00A20A17" w:rsidRDefault="00FE37DB" w:rsidP="00FE37DB">
      <w:pPr>
        <w:spacing w:before="120" w:after="120"/>
        <w:rPr>
          <w:rFonts w:ascii="Calibri" w:eastAsia="Calibri" w:hAnsi="Calibri" w:cs="Arial"/>
        </w:rPr>
      </w:pPr>
    </w:p>
    <w:p w14:paraId="0E93D94E" w14:textId="77777777" w:rsidR="00FE37DB" w:rsidRPr="00A20A17" w:rsidRDefault="00FE37DB" w:rsidP="00FE37DB">
      <w:pPr>
        <w:keepNext/>
        <w:spacing w:before="120"/>
        <w:rPr>
          <w:rFonts w:ascii="Calibri" w:eastAsia="Calibri" w:hAnsi="Calibri" w:cs="Arial"/>
          <w:i/>
          <w:iCs/>
          <w:color w:val="44546A"/>
          <w:sz w:val="18"/>
          <w:szCs w:val="18"/>
        </w:rPr>
      </w:pPr>
      <w:r w:rsidRPr="00A20A17">
        <w:rPr>
          <w:rFonts w:ascii="Calibri" w:eastAsia="Calibri" w:hAnsi="Calibri" w:cs="Arial"/>
          <w:i/>
          <w:iCs/>
          <w:color w:val="44546A"/>
          <w:sz w:val="18"/>
          <w:szCs w:val="18"/>
        </w:rPr>
        <w:t xml:space="preserve">Table </w:t>
      </w:r>
      <w:r w:rsidRPr="00A20A17">
        <w:rPr>
          <w:rFonts w:ascii="Calibri" w:eastAsia="Calibri" w:hAnsi="Calibri" w:cs="Arial"/>
          <w:i/>
          <w:iCs/>
          <w:color w:val="44546A"/>
          <w:sz w:val="18"/>
          <w:szCs w:val="18"/>
        </w:rPr>
        <w:fldChar w:fldCharType="begin"/>
      </w:r>
      <w:r w:rsidRPr="00A20A17">
        <w:rPr>
          <w:rFonts w:ascii="Calibri" w:eastAsia="Calibri" w:hAnsi="Calibri" w:cs="Arial"/>
          <w:i/>
          <w:iCs/>
          <w:color w:val="44546A"/>
          <w:sz w:val="18"/>
          <w:szCs w:val="18"/>
        </w:rPr>
        <w:instrText>SEQ Table \* ARABIC</w:instrText>
      </w:r>
      <w:r w:rsidRPr="00A20A17">
        <w:rPr>
          <w:rFonts w:ascii="Calibri" w:eastAsia="Calibri" w:hAnsi="Calibri" w:cs="Arial"/>
          <w:i/>
          <w:iCs/>
          <w:color w:val="44546A"/>
          <w:sz w:val="18"/>
          <w:szCs w:val="18"/>
        </w:rPr>
        <w:fldChar w:fldCharType="separate"/>
      </w:r>
      <w:r w:rsidRPr="00A20A17">
        <w:rPr>
          <w:rFonts w:ascii="Calibri" w:eastAsia="Calibri" w:hAnsi="Calibri" w:cs="Arial"/>
          <w:i/>
          <w:iCs/>
          <w:noProof/>
          <w:color w:val="44546A"/>
          <w:sz w:val="18"/>
          <w:szCs w:val="18"/>
        </w:rPr>
        <w:t>13</w:t>
      </w:r>
      <w:r w:rsidRPr="00A20A17">
        <w:rPr>
          <w:rFonts w:ascii="Calibri" w:eastAsia="Calibri" w:hAnsi="Calibri" w:cs="Arial"/>
          <w:i/>
          <w:iCs/>
          <w:color w:val="44546A"/>
          <w:sz w:val="18"/>
          <w:szCs w:val="18"/>
        </w:rPr>
        <w:fldChar w:fldCharType="end"/>
      </w:r>
      <w:r w:rsidRPr="00A20A17">
        <w:rPr>
          <w:rFonts w:ascii="Calibri" w:eastAsia="Calibri" w:hAnsi="Calibri" w:cs="Arial"/>
          <w:i/>
          <w:iCs/>
          <w:color w:val="44546A"/>
          <w:sz w:val="18"/>
          <w:szCs w:val="18"/>
        </w:rPr>
        <w:t xml:space="preserve">: Calculation of cost of appointments in secondary care </w:t>
      </w:r>
    </w:p>
    <w:tbl>
      <w:tblPr>
        <w:tblStyle w:val="TableGrid2"/>
        <w:tblW w:w="0" w:type="auto"/>
        <w:tblLook w:val="04A0" w:firstRow="1" w:lastRow="0" w:firstColumn="1" w:lastColumn="0" w:noHBand="0" w:noVBand="1"/>
      </w:tblPr>
      <w:tblGrid>
        <w:gridCol w:w="4815"/>
        <w:gridCol w:w="1984"/>
        <w:gridCol w:w="955"/>
        <w:gridCol w:w="1262"/>
      </w:tblGrid>
      <w:tr w:rsidR="00FE37DB" w:rsidRPr="00A20A17" w14:paraId="0341991A" w14:textId="77777777" w:rsidTr="00A80B48">
        <w:trPr>
          <w:trHeight w:val="300"/>
        </w:trPr>
        <w:tc>
          <w:tcPr>
            <w:tcW w:w="4815" w:type="dxa"/>
            <w:noWrap/>
            <w:hideMark/>
          </w:tcPr>
          <w:p w14:paraId="5904330A" w14:textId="77777777" w:rsidR="00FE37DB" w:rsidRPr="00A20A17" w:rsidRDefault="00FE37DB" w:rsidP="00A80B48">
            <w:pPr>
              <w:spacing w:before="60" w:after="60" w:line="240" w:lineRule="auto"/>
              <w:rPr>
                <w:rFonts w:ascii="Calibri" w:eastAsia="Calibri" w:hAnsi="Calibri" w:cs="Calibri"/>
                <w:b/>
                <w:bCs/>
                <w:sz w:val="18"/>
                <w:szCs w:val="18"/>
              </w:rPr>
            </w:pPr>
            <w:r w:rsidRPr="00A20A17">
              <w:rPr>
                <w:rFonts w:ascii="Calibri" w:eastAsia="Calibri" w:hAnsi="Calibri" w:cs="Calibri"/>
                <w:b/>
                <w:bCs/>
                <w:sz w:val="18"/>
                <w:szCs w:val="18"/>
              </w:rPr>
              <w:t>Type of appointment</w:t>
            </w:r>
          </w:p>
        </w:tc>
        <w:tc>
          <w:tcPr>
            <w:tcW w:w="1984" w:type="dxa"/>
            <w:noWrap/>
            <w:hideMark/>
          </w:tcPr>
          <w:p w14:paraId="1126FF32" w14:textId="77777777" w:rsidR="00FE37DB" w:rsidRPr="00A20A17" w:rsidRDefault="00FE37DB" w:rsidP="00A80B48">
            <w:pPr>
              <w:spacing w:before="60" w:after="60" w:line="240" w:lineRule="auto"/>
              <w:rPr>
                <w:rFonts w:ascii="Calibri" w:eastAsia="Calibri" w:hAnsi="Calibri" w:cs="Calibri"/>
                <w:b/>
                <w:bCs/>
                <w:sz w:val="18"/>
                <w:szCs w:val="18"/>
              </w:rPr>
            </w:pPr>
            <w:r w:rsidRPr="00A20A17">
              <w:rPr>
                <w:rFonts w:ascii="Calibri" w:eastAsia="Calibri" w:hAnsi="Calibri" w:cs="Calibri"/>
                <w:b/>
                <w:bCs/>
                <w:sz w:val="18"/>
                <w:szCs w:val="18"/>
              </w:rPr>
              <w:t>Clinical area</w:t>
            </w:r>
          </w:p>
        </w:tc>
        <w:tc>
          <w:tcPr>
            <w:tcW w:w="955" w:type="dxa"/>
            <w:noWrap/>
            <w:hideMark/>
          </w:tcPr>
          <w:p w14:paraId="2018DE9C" w14:textId="77777777" w:rsidR="00FE37DB" w:rsidRPr="00A20A17" w:rsidRDefault="00FE37DB" w:rsidP="00A80B48">
            <w:pPr>
              <w:spacing w:before="60" w:after="60" w:line="240" w:lineRule="auto"/>
              <w:rPr>
                <w:rFonts w:ascii="Calibri" w:eastAsia="Calibri" w:hAnsi="Calibri" w:cs="Calibri"/>
                <w:b/>
                <w:bCs/>
                <w:sz w:val="18"/>
                <w:szCs w:val="18"/>
              </w:rPr>
            </w:pPr>
            <w:r w:rsidRPr="00A20A17">
              <w:rPr>
                <w:rFonts w:ascii="Calibri" w:eastAsia="Calibri" w:hAnsi="Calibri" w:cs="Calibri"/>
                <w:b/>
                <w:bCs/>
                <w:sz w:val="18"/>
                <w:szCs w:val="18"/>
              </w:rPr>
              <w:t>cost</w:t>
            </w:r>
          </w:p>
        </w:tc>
        <w:tc>
          <w:tcPr>
            <w:tcW w:w="1262" w:type="dxa"/>
          </w:tcPr>
          <w:p w14:paraId="7520B80C" w14:textId="77777777" w:rsidR="00FE37DB" w:rsidRPr="00A20A17" w:rsidRDefault="00FE37DB" w:rsidP="00A80B48">
            <w:pPr>
              <w:spacing w:before="60" w:after="60" w:line="240" w:lineRule="auto"/>
              <w:rPr>
                <w:rFonts w:ascii="Calibri" w:eastAsia="Calibri" w:hAnsi="Calibri" w:cs="Calibri"/>
                <w:b/>
                <w:bCs/>
                <w:sz w:val="18"/>
                <w:szCs w:val="18"/>
              </w:rPr>
            </w:pPr>
            <w:r w:rsidRPr="00A20A17">
              <w:rPr>
                <w:rFonts w:ascii="Calibri" w:eastAsia="Calibri" w:hAnsi="Calibri" w:cs="Calibri"/>
                <w:b/>
                <w:bCs/>
                <w:sz w:val="18"/>
                <w:szCs w:val="18"/>
              </w:rPr>
              <w:t>Attendances</w:t>
            </w:r>
          </w:p>
        </w:tc>
      </w:tr>
      <w:tr w:rsidR="00FE37DB" w:rsidRPr="00A20A17" w14:paraId="78A6EF93" w14:textId="77777777" w:rsidTr="00A80B48">
        <w:trPr>
          <w:trHeight w:val="300"/>
        </w:trPr>
        <w:tc>
          <w:tcPr>
            <w:tcW w:w="4815" w:type="dxa"/>
            <w:shd w:val="clear" w:color="auto" w:fill="E7E6E6"/>
            <w:noWrap/>
          </w:tcPr>
          <w:p w14:paraId="069B2DED"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Adults</w:t>
            </w:r>
          </w:p>
        </w:tc>
        <w:tc>
          <w:tcPr>
            <w:tcW w:w="1984" w:type="dxa"/>
            <w:shd w:val="clear" w:color="auto" w:fill="E7E6E6"/>
            <w:noWrap/>
          </w:tcPr>
          <w:p w14:paraId="0A3D886A" w14:textId="77777777" w:rsidR="00FE37DB" w:rsidRPr="00A20A17" w:rsidRDefault="00FE37DB" w:rsidP="00A80B48">
            <w:pPr>
              <w:spacing w:before="60" w:after="60" w:line="240" w:lineRule="auto"/>
              <w:rPr>
                <w:rFonts w:ascii="Calibri" w:eastAsia="Calibri" w:hAnsi="Calibri" w:cs="Calibri"/>
                <w:sz w:val="18"/>
                <w:szCs w:val="18"/>
              </w:rPr>
            </w:pPr>
          </w:p>
        </w:tc>
        <w:tc>
          <w:tcPr>
            <w:tcW w:w="955" w:type="dxa"/>
            <w:shd w:val="clear" w:color="auto" w:fill="E7E6E6"/>
            <w:noWrap/>
          </w:tcPr>
          <w:p w14:paraId="75A6EE29" w14:textId="77777777" w:rsidR="00FE37DB" w:rsidRPr="00A20A17" w:rsidRDefault="00FE37DB" w:rsidP="00A80B48">
            <w:pPr>
              <w:spacing w:before="60" w:after="60" w:line="240" w:lineRule="auto"/>
              <w:rPr>
                <w:rFonts w:ascii="Calibri" w:eastAsia="Calibri" w:hAnsi="Calibri" w:cs="Calibri"/>
                <w:sz w:val="18"/>
                <w:szCs w:val="18"/>
              </w:rPr>
            </w:pPr>
          </w:p>
        </w:tc>
        <w:tc>
          <w:tcPr>
            <w:tcW w:w="1262" w:type="dxa"/>
            <w:shd w:val="clear" w:color="auto" w:fill="E7E6E6"/>
            <w:vAlign w:val="bottom"/>
          </w:tcPr>
          <w:p w14:paraId="200B9D86" w14:textId="77777777" w:rsidR="00FE37DB" w:rsidRPr="00A20A17" w:rsidRDefault="00FE37DB" w:rsidP="00A80B48">
            <w:pPr>
              <w:spacing w:before="60" w:after="60" w:line="240" w:lineRule="auto"/>
              <w:rPr>
                <w:rFonts w:ascii="Calibri" w:eastAsia="Calibri" w:hAnsi="Calibri" w:cs="Calibri"/>
                <w:sz w:val="18"/>
                <w:szCs w:val="18"/>
              </w:rPr>
            </w:pPr>
          </w:p>
        </w:tc>
      </w:tr>
      <w:tr w:rsidR="00FE37DB" w:rsidRPr="00A20A17" w14:paraId="34C8D2CB" w14:textId="77777777" w:rsidTr="00A80B48">
        <w:trPr>
          <w:trHeight w:val="300"/>
        </w:trPr>
        <w:tc>
          <w:tcPr>
            <w:tcW w:w="4815" w:type="dxa"/>
            <w:noWrap/>
            <w:hideMark/>
          </w:tcPr>
          <w:p w14:paraId="3741C8B3"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Non-Admitted Face-to-Face Attendance, First</w:t>
            </w:r>
          </w:p>
        </w:tc>
        <w:tc>
          <w:tcPr>
            <w:tcW w:w="1984" w:type="dxa"/>
            <w:noWrap/>
            <w:hideMark/>
          </w:tcPr>
          <w:p w14:paraId="71BD3CE3"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Chemical pathology</w:t>
            </w:r>
          </w:p>
        </w:tc>
        <w:tc>
          <w:tcPr>
            <w:tcW w:w="955" w:type="dxa"/>
            <w:noWrap/>
            <w:hideMark/>
          </w:tcPr>
          <w:p w14:paraId="03D5C3B5"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£146</w:t>
            </w:r>
          </w:p>
        </w:tc>
        <w:tc>
          <w:tcPr>
            <w:tcW w:w="1262" w:type="dxa"/>
            <w:vAlign w:val="bottom"/>
          </w:tcPr>
          <w:p w14:paraId="3AC1B851"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14281</w:t>
            </w:r>
          </w:p>
        </w:tc>
      </w:tr>
      <w:tr w:rsidR="00FE37DB" w:rsidRPr="00A20A17" w14:paraId="1AF0B50C" w14:textId="77777777" w:rsidTr="00A80B48">
        <w:trPr>
          <w:trHeight w:val="300"/>
        </w:trPr>
        <w:tc>
          <w:tcPr>
            <w:tcW w:w="4815" w:type="dxa"/>
            <w:noWrap/>
            <w:hideMark/>
          </w:tcPr>
          <w:p w14:paraId="174B87A5"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Non-Admitted Face-to-Face Attendance, First</w:t>
            </w:r>
          </w:p>
        </w:tc>
        <w:tc>
          <w:tcPr>
            <w:tcW w:w="1984" w:type="dxa"/>
            <w:noWrap/>
            <w:hideMark/>
          </w:tcPr>
          <w:p w14:paraId="479F8CDF"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Endocrinology</w:t>
            </w:r>
          </w:p>
        </w:tc>
        <w:tc>
          <w:tcPr>
            <w:tcW w:w="955" w:type="dxa"/>
            <w:noWrap/>
            <w:hideMark/>
          </w:tcPr>
          <w:p w14:paraId="4EEC2F3D"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£212</w:t>
            </w:r>
          </w:p>
        </w:tc>
        <w:tc>
          <w:tcPr>
            <w:tcW w:w="1262" w:type="dxa"/>
            <w:vAlign w:val="bottom"/>
          </w:tcPr>
          <w:p w14:paraId="55DD0409"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152584</w:t>
            </w:r>
          </w:p>
        </w:tc>
      </w:tr>
      <w:tr w:rsidR="00FE37DB" w:rsidRPr="00A20A17" w14:paraId="5433E1FD" w14:textId="77777777" w:rsidTr="00A80B48">
        <w:trPr>
          <w:trHeight w:val="300"/>
        </w:trPr>
        <w:tc>
          <w:tcPr>
            <w:tcW w:w="4815" w:type="dxa"/>
            <w:noWrap/>
            <w:hideMark/>
          </w:tcPr>
          <w:p w14:paraId="1F5E56CB"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Non-Admitted Face-to-Face Attendance, First</w:t>
            </w:r>
          </w:p>
        </w:tc>
        <w:tc>
          <w:tcPr>
            <w:tcW w:w="1984" w:type="dxa"/>
            <w:noWrap/>
            <w:hideMark/>
          </w:tcPr>
          <w:p w14:paraId="01345D87"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General medicine</w:t>
            </w:r>
          </w:p>
        </w:tc>
        <w:tc>
          <w:tcPr>
            <w:tcW w:w="955" w:type="dxa"/>
            <w:noWrap/>
            <w:hideMark/>
          </w:tcPr>
          <w:p w14:paraId="50F4A4DC"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£201</w:t>
            </w:r>
          </w:p>
        </w:tc>
        <w:tc>
          <w:tcPr>
            <w:tcW w:w="1262" w:type="dxa"/>
            <w:vAlign w:val="bottom"/>
          </w:tcPr>
          <w:p w14:paraId="54657B31"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343385</w:t>
            </w:r>
          </w:p>
        </w:tc>
      </w:tr>
      <w:tr w:rsidR="00FE37DB" w:rsidRPr="00A20A17" w14:paraId="7BDFD53A" w14:textId="77777777" w:rsidTr="00A80B48">
        <w:trPr>
          <w:trHeight w:val="300"/>
        </w:trPr>
        <w:tc>
          <w:tcPr>
            <w:tcW w:w="6799" w:type="dxa"/>
            <w:gridSpan w:val="2"/>
            <w:noWrap/>
          </w:tcPr>
          <w:p w14:paraId="657182EC" w14:textId="77777777" w:rsidR="00FE37DB" w:rsidRPr="00A20A17" w:rsidRDefault="00FE37DB" w:rsidP="00A80B48">
            <w:pPr>
              <w:spacing w:before="60" w:after="60" w:line="240" w:lineRule="auto"/>
              <w:jc w:val="right"/>
              <w:rPr>
                <w:rFonts w:ascii="Calibri" w:eastAsia="Calibri" w:hAnsi="Calibri" w:cs="Calibri"/>
                <w:b/>
                <w:bCs/>
                <w:sz w:val="18"/>
                <w:szCs w:val="18"/>
              </w:rPr>
            </w:pPr>
            <w:r w:rsidRPr="00A20A17">
              <w:rPr>
                <w:rFonts w:ascii="Calibri" w:eastAsia="Calibri" w:hAnsi="Calibri" w:cs="Calibri"/>
                <w:b/>
                <w:bCs/>
                <w:sz w:val="18"/>
                <w:szCs w:val="18"/>
              </w:rPr>
              <w:t>Cost of first appointment; adults</w:t>
            </w:r>
          </w:p>
        </w:tc>
        <w:tc>
          <w:tcPr>
            <w:tcW w:w="955" w:type="dxa"/>
            <w:noWrap/>
          </w:tcPr>
          <w:p w14:paraId="4EB873AC" w14:textId="77777777" w:rsidR="00FE37DB" w:rsidRPr="00A20A17" w:rsidRDefault="00FE37DB" w:rsidP="00A80B48">
            <w:pPr>
              <w:spacing w:before="60" w:after="60" w:line="240" w:lineRule="auto"/>
              <w:jc w:val="right"/>
              <w:rPr>
                <w:rFonts w:ascii="Calibri" w:eastAsia="Calibri" w:hAnsi="Calibri" w:cs="Calibri"/>
                <w:b/>
                <w:bCs/>
                <w:sz w:val="18"/>
                <w:szCs w:val="18"/>
              </w:rPr>
            </w:pPr>
            <w:r w:rsidRPr="00A20A17">
              <w:rPr>
                <w:rFonts w:ascii="Calibri" w:eastAsia="Calibri" w:hAnsi="Calibri" w:cs="Calibri"/>
                <w:b/>
                <w:bCs/>
                <w:sz w:val="18"/>
                <w:szCs w:val="18"/>
              </w:rPr>
              <w:t>£203</w:t>
            </w:r>
          </w:p>
        </w:tc>
        <w:tc>
          <w:tcPr>
            <w:tcW w:w="1262" w:type="dxa"/>
            <w:vAlign w:val="bottom"/>
          </w:tcPr>
          <w:p w14:paraId="153A6275"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N/A</w:t>
            </w:r>
          </w:p>
        </w:tc>
      </w:tr>
      <w:tr w:rsidR="00FE37DB" w:rsidRPr="00A20A17" w14:paraId="4454C550" w14:textId="77777777" w:rsidTr="00A80B48">
        <w:trPr>
          <w:trHeight w:val="300"/>
        </w:trPr>
        <w:tc>
          <w:tcPr>
            <w:tcW w:w="4815" w:type="dxa"/>
            <w:noWrap/>
            <w:vAlign w:val="bottom"/>
          </w:tcPr>
          <w:p w14:paraId="55041126"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color w:val="000000"/>
                <w:sz w:val="18"/>
                <w:szCs w:val="18"/>
              </w:rPr>
              <w:t>Non-Admitted Face-to-Face Attendance, Follow-up</w:t>
            </w:r>
          </w:p>
        </w:tc>
        <w:tc>
          <w:tcPr>
            <w:tcW w:w="1984" w:type="dxa"/>
            <w:noWrap/>
            <w:vAlign w:val="bottom"/>
          </w:tcPr>
          <w:p w14:paraId="1812BB0B"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color w:val="000000"/>
                <w:sz w:val="18"/>
                <w:szCs w:val="18"/>
              </w:rPr>
              <w:t>Chemical Pathology</w:t>
            </w:r>
          </w:p>
        </w:tc>
        <w:tc>
          <w:tcPr>
            <w:tcW w:w="955" w:type="dxa"/>
            <w:noWrap/>
            <w:vAlign w:val="bottom"/>
          </w:tcPr>
          <w:p w14:paraId="219E5F7A"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color w:val="000000"/>
                <w:sz w:val="18"/>
                <w:szCs w:val="18"/>
              </w:rPr>
              <w:t>£130</w:t>
            </w:r>
          </w:p>
        </w:tc>
        <w:tc>
          <w:tcPr>
            <w:tcW w:w="1262" w:type="dxa"/>
            <w:vAlign w:val="bottom"/>
          </w:tcPr>
          <w:p w14:paraId="53C193ED"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color w:val="000000"/>
                <w:sz w:val="18"/>
                <w:szCs w:val="18"/>
              </w:rPr>
              <w:t>38,098</w:t>
            </w:r>
          </w:p>
        </w:tc>
      </w:tr>
      <w:tr w:rsidR="00FE37DB" w:rsidRPr="00A20A17" w14:paraId="19084E06" w14:textId="77777777" w:rsidTr="00A80B48">
        <w:trPr>
          <w:trHeight w:val="300"/>
        </w:trPr>
        <w:tc>
          <w:tcPr>
            <w:tcW w:w="4815" w:type="dxa"/>
            <w:noWrap/>
            <w:vAlign w:val="bottom"/>
          </w:tcPr>
          <w:p w14:paraId="03225C37"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color w:val="000000"/>
                <w:sz w:val="18"/>
                <w:szCs w:val="18"/>
              </w:rPr>
              <w:t>Non-Admitted Face-to-Face Attendance, Follow-up</w:t>
            </w:r>
          </w:p>
        </w:tc>
        <w:tc>
          <w:tcPr>
            <w:tcW w:w="1984" w:type="dxa"/>
            <w:noWrap/>
            <w:vAlign w:val="bottom"/>
          </w:tcPr>
          <w:p w14:paraId="58386EC3"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color w:val="000000"/>
                <w:sz w:val="18"/>
                <w:szCs w:val="18"/>
              </w:rPr>
              <w:t>Endocrinology</w:t>
            </w:r>
          </w:p>
        </w:tc>
        <w:tc>
          <w:tcPr>
            <w:tcW w:w="955" w:type="dxa"/>
            <w:noWrap/>
            <w:vAlign w:val="bottom"/>
          </w:tcPr>
          <w:p w14:paraId="07FE254F"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color w:val="000000"/>
                <w:sz w:val="18"/>
                <w:szCs w:val="18"/>
              </w:rPr>
              <w:t>£152</w:t>
            </w:r>
          </w:p>
        </w:tc>
        <w:tc>
          <w:tcPr>
            <w:tcW w:w="1262" w:type="dxa"/>
            <w:vAlign w:val="bottom"/>
          </w:tcPr>
          <w:p w14:paraId="3BE9F27C"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color w:val="000000"/>
                <w:sz w:val="18"/>
                <w:szCs w:val="18"/>
              </w:rPr>
              <w:t>423,726</w:t>
            </w:r>
          </w:p>
        </w:tc>
      </w:tr>
      <w:tr w:rsidR="00FE37DB" w:rsidRPr="00A20A17" w14:paraId="36BDED98" w14:textId="77777777" w:rsidTr="00A80B48">
        <w:trPr>
          <w:trHeight w:val="300"/>
        </w:trPr>
        <w:tc>
          <w:tcPr>
            <w:tcW w:w="4815" w:type="dxa"/>
            <w:noWrap/>
            <w:vAlign w:val="bottom"/>
          </w:tcPr>
          <w:p w14:paraId="6EA600E3"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color w:val="000000"/>
                <w:sz w:val="18"/>
                <w:szCs w:val="18"/>
              </w:rPr>
              <w:t>Non-Admitted Face-to-Face Attendance, Follow-up</w:t>
            </w:r>
          </w:p>
        </w:tc>
        <w:tc>
          <w:tcPr>
            <w:tcW w:w="1984" w:type="dxa"/>
            <w:noWrap/>
            <w:vAlign w:val="bottom"/>
          </w:tcPr>
          <w:p w14:paraId="717CF3F5"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color w:val="000000"/>
                <w:sz w:val="18"/>
                <w:szCs w:val="18"/>
              </w:rPr>
              <w:t>General Medicine</w:t>
            </w:r>
          </w:p>
        </w:tc>
        <w:tc>
          <w:tcPr>
            <w:tcW w:w="955" w:type="dxa"/>
            <w:noWrap/>
            <w:vAlign w:val="bottom"/>
          </w:tcPr>
          <w:p w14:paraId="61A7E2A2"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color w:val="000000"/>
                <w:sz w:val="18"/>
                <w:szCs w:val="18"/>
              </w:rPr>
              <w:t>£176</w:t>
            </w:r>
          </w:p>
        </w:tc>
        <w:tc>
          <w:tcPr>
            <w:tcW w:w="1262" w:type="dxa"/>
            <w:vAlign w:val="bottom"/>
          </w:tcPr>
          <w:p w14:paraId="00AE3899"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color w:val="000000"/>
                <w:sz w:val="18"/>
                <w:szCs w:val="18"/>
              </w:rPr>
              <w:t>347,462</w:t>
            </w:r>
          </w:p>
        </w:tc>
      </w:tr>
      <w:tr w:rsidR="00FE37DB" w:rsidRPr="00A20A17" w14:paraId="58D27E3A" w14:textId="77777777" w:rsidTr="00A80B48">
        <w:trPr>
          <w:trHeight w:val="300"/>
        </w:trPr>
        <w:tc>
          <w:tcPr>
            <w:tcW w:w="4815" w:type="dxa"/>
            <w:noWrap/>
            <w:vAlign w:val="bottom"/>
          </w:tcPr>
          <w:p w14:paraId="2F50B9E9"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color w:val="000000"/>
                <w:sz w:val="18"/>
                <w:szCs w:val="18"/>
              </w:rPr>
              <w:t>Non-Admitted Non-Face-to-Face Attendance, Follow-up</w:t>
            </w:r>
          </w:p>
        </w:tc>
        <w:tc>
          <w:tcPr>
            <w:tcW w:w="1984" w:type="dxa"/>
            <w:noWrap/>
            <w:vAlign w:val="bottom"/>
          </w:tcPr>
          <w:p w14:paraId="46F8EED8"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color w:val="000000"/>
                <w:sz w:val="18"/>
                <w:szCs w:val="18"/>
              </w:rPr>
              <w:t>Chemical Pathology</w:t>
            </w:r>
          </w:p>
        </w:tc>
        <w:tc>
          <w:tcPr>
            <w:tcW w:w="955" w:type="dxa"/>
            <w:noWrap/>
            <w:vAlign w:val="bottom"/>
          </w:tcPr>
          <w:p w14:paraId="56EFAE15"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color w:val="000000"/>
                <w:sz w:val="18"/>
                <w:szCs w:val="18"/>
              </w:rPr>
              <w:t>£31</w:t>
            </w:r>
          </w:p>
        </w:tc>
        <w:tc>
          <w:tcPr>
            <w:tcW w:w="1262" w:type="dxa"/>
            <w:vAlign w:val="bottom"/>
          </w:tcPr>
          <w:p w14:paraId="43F63EC2"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color w:val="000000"/>
                <w:sz w:val="18"/>
                <w:szCs w:val="18"/>
              </w:rPr>
              <w:t>228</w:t>
            </w:r>
          </w:p>
        </w:tc>
      </w:tr>
      <w:tr w:rsidR="00FE37DB" w:rsidRPr="00A20A17" w14:paraId="5FB4D41E" w14:textId="77777777" w:rsidTr="00A80B48">
        <w:trPr>
          <w:trHeight w:val="300"/>
        </w:trPr>
        <w:tc>
          <w:tcPr>
            <w:tcW w:w="4815" w:type="dxa"/>
            <w:noWrap/>
            <w:vAlign w:val="bottom"/>
          </w:tcPr>
          <w:p w14:paraId="1E416A8A"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color w:val="000000"/>
                <w:sz w:val="18"/>
                <w:szCs w:val="18"/>
              </w:rPr>
              <w:t>Non-Admitted Non-Face-to-Face Attendance, Follow-up</w:t>
            </w:r>
          </w:p>
        </w:tc>
        <w:tc>
          <w:tcPr>
            <w:tcW w:w="1984" w:type="dxa"/>
            <w:noWrap/>
            <w:vAlign w:val="bottom"/>
          </w:tcPr>
          <w:p w14:paraId="4EA0E016"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color w:val="000000"/>
                <w:sz w:val="18"/>
                <w:szCs w:val="18"/>
              </w:rPr>
              <w:t>Endocrinology</w:t>
            </w:r>
          </w:p>
        </w:tc>
        <w:tc>
          <w:tcPr>
            <w:tcW w:w="955" w:type="dxa"/>
            <w:noWrap/>
            <w:vAlign w:val="bottom"/>
          </w:tcPr>
          <w:p w14:paraId="0CC18F6D"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color w:val="000000"/>
                <w:sz w:val="18"/>
                <w:szCs w:val="18"/>
              </w:rPr>
              <w:t>£103</w:t>
            </w:r>
          </w:p>
        </w:tc>
        <w:tc>
          <w:tcPr>
            <w:tcW w:w="1262" w:type="dxa"/>
            <w:vAlign w:val="bottom"/>
          </w:tcPr>
          <w:p w14:paraId="78A7FD7E"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color w:val="000000"/>
                <w:sz w:val="18"/>
                <w:szCs w:val="18"/>
              </w:rPr>
              <w:t>27,702</w:t>
            </w:r>
          </w:p>
        </w:tc>
      </w:tr>
      <w:tr w:rsidR="00FE37DB" w:rsidRPr="00A20A17" w14:paraId="3414308E" w14:textId="77777777" w:rsidTr="00A80B48">
        <w:trPr>
          <w:trHeight w:val="300"/>
        </w:trPr>
        <w:tc>
          <w:tcPr>
            <w:tcW w:w="4815" w:type="dxa"/>
            <w:noWrap/>
            <w:vAlign w:val="bottom"/>
          </w:tcPr>
          <w:p w14:paraId="373A5ACA"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color w:val="000000"/>
                <w:sz w:val="18"/>
                <w:szCs w:val="18"/>
              </w:rPr>
              <w:t>Non-Admitted Non-Face-to-Face Attendance, Follow-up</w:t>
            </w:r>
          </w:p>
        </w:tc>
        <w:tc>
          <w:tcPr>
            <w:tcW w:w="1984" w:type="dxa"/>
            <w:noWrap/>
            <w:vAlign w:val="bottom"/>
          </w:tcPr>
          <w:p w14:paraId="54B9D3B2"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color w:val="000000"/>
                <w:sz w:val="18"/>
                <w:szCs w:val="18"/>
              </w:rPr>
              <w:t>General Medicine</w:t>
            </w:r>
          </w:p>
        </w:tc>
        <w:tc>
          <w:tcPr>
            <w:tcW w:w="955" w:type="dxa"/>
            <w:noWrap/>
            <w:vAlign w:val="bottom"/>
          </w:tcPr>
          <w:p w14:paraId="77FB251C"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color w:val="000000"/>
                <w:sz w:val="18"/>
                <w:szCs w:val="18"/>
              </w:rPr>
              <w:t>£135</w:t>
            </w:r>
          </w:p>
        </w:tc>
        <w:tc>
          <w:tcPr>
            <w:tcW w:w="1262" w:type="dxa"/>
            <w:vAlign w:val="bottom"/>
          </w:tcPr>
          <w:p w14:paraId="78CB8E04"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color w:val="000000"/>
                <w:sz w:val="18"/>
                <w:szCs w:val="18"/>
              </w:rPr>
              <w:t>8,983</w:t>
            </w:r>
          </w:p>
        </w:tc>
      </w:tr>
      <w:tr w:rsidR="00FE37DB" w:rsidRPr="00A20A17" w14:paraId="5EA76DC8" w14:textId="77777777" w:rsidTr="00A80B48">
        <w:trPr>
          <w:trHeight w:val="300"/>
        </w:trPr>
        <w:tc>
          <w:tcPr>
            <w:tcW w:w="4815" w:type="dxa"/>
            <w:noWrap/>
            <w:vAlign w:val="bottom"/>
          </w:tcPr>
          <w:p w14:paraId="0597903B"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color w:val="000000"/>
                <w:sz w:val="18"/>
                <w:szCs w:val="18"/>
              </w:rPr>
              <w:t>Multiprofessional Non-Admitted Face-to-Face Attendance, Follow-up</w:t>
            </w:r>
          </w:p>
        </w:tc>
        <w:tc>
          <w:tcPr>
            <w:tcW w:w="1984" w:type="dxa"/>
            <w:noWrap/>
            <w:vAlign w:val="bottom"/>
          </w:tcPr>
          <w:p w14:paraId="2284D657"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color w:val="000000"/>
                <w:sz w:val="18"/>
                <w:szCs w:val="18"/>
              </w:rPr>
              <w:t>Chemical Pathology</w:t>
            </w:r>
          </w:p>
        </w:tc>
        <w:tc>
          <w:tcPr>
            <w:tcW w:w="955" w:type="dxa"/>
            <w:noWrap/>
            <w:vAlign w:val="bottom"/>
          </w:tcPr>
          <w:p w14:paraId="5D1F9634"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color w:val="000000"/>
                <w:sz w:val="18"/>
                <w:szCs w:val="18"/>
              </w:rPr>
              <w:t>£173</w:t>
            </w:r>
          </w:p>
        </w:tc>
        <w:tc>
          <w:tcPr>
            <w:tcW w:w="1262" w:type="dxa"/>
            <w:vAlign w:val="bottom"/>
          </w:tcPr>
          <w:p w14:paraId="1FD2377D"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color w:val="000000"/>
                <w:sz w:val="18"/>
                <w:szCs w:val="18"/>
              </w:rPr>
              <w:t>497</w:t>
            </w:r>
          </w:p>
        </w:tc>
      </w:tr>
      <w:tr w:rsidR="00FE37DB" w:rsidRPr="00A20A17" w14:paraId="402B474B" w14:textId="77777777" w:rsidTr="00A80B48">
        <w:trPr>
          <w:trHeight w:val="300"/>
        </w:trPr>
        <w:tc>
          <w:tcPr>
            <w:tcW w:w="4815" w:type="dxa"/>
            <w:noWrap/>
            <w:vAlign w:val="bottom"/>
          </w:tcPr>
          <w:p w14:paraId="582B7469"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color w:val="000000"/>
                <w:sz w:val="18"/>
                <w:szCs w:val="18"/>
              </w:rPr>
              <w:t>Multiprofessional Non-Admitted Face-to-Face Attendance, Follow-up</w:t>
            </w:r>
          </w:p>
        </w:tc>
        <w:tc>
          <w:tcPr>
            <w:tcW w:w="1984" w:type="dxa"/>
            <w:noWrap/>
            <w:vAlign w:val="bottom"/>
          </w:tcPr>
          <w:p w14:paraId="161DC96C"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color w:val="000000"/>
                <w:sz w:val="18"/>
                <w:szCs w:val="18"/>
              </w:rPr>
              <w:t>Endocrinology</w:t>
            </w:r>
          </w:p>
        </w:tc>
        <w:tc>
          <w:tcPr>
            <w:tcW w:w="955" w:type="dxa"/>
            <w:noWrap/>
            <w:vAlign w:val="bottom"/>
          </w:tcPr>
          <w:p w14:paraId="0FC4EF95"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color w:val="000000"/>
                <w:sz w:val="18"/>
                <w:szCs w:val="18"/>
              </w:rPr>
              <w:t>£140</w:t>
            </w:r>
          </w:p>
        </w:tc>
        <w:tc>
          <w:tcPr>
            <w:tcW w:w="1262" w:type="dxa"/>
            <w:vAlign w:val="bottom"/>
          </w:tcPr>
          <w:p w14:paraId="1127D537"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color w:val="000000"/>
                <w:sz w:val="18"/>
                <w:szCs w:val="18"/>
              </w:rPr>
              <w:t>12,333</w:t>
            </w:r>
          </w:p>
        </w:tc>
      </w:tr>
      <w:tr w:rsidR="00FE37DB" w:rsidRPr="00A20A17" w14:paraId="3306466A" w14:textId="77777777" w:rsidTr="00A80B48">
        <w:trPr>
          <w:trHeight w:val="300"/>
        </w:trPr>
        <w:tc>
          <w:tcPr>
            <w:tcW w:w="4815" w:type="dxa"/>
            <w:noWrap/>
            <w:vAlign w:val="bottom"/>
          </w:tcPr>
          <w:p w14:paraId="575AD772"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color w:val="000000"/>
                <w:sz w:val="18"/>
                <w:szCs w:val="18"/>
              </w:rPr>
              <w:t>Multiprofessional Non-Admitted Face-to-Face Attendance, Follow-up</w:t>
            </w:r>
          </w:p>
        </w:tc>
        <w:tc>
          <w:tcPr>
            <w:tcW w:w="1984" w:type="dxa"/>
            <w:noWrap/>
            <w:vAlign w:val="bottom"/>
          </w:tcPr>
          <w:p w14:paraId="53080A07"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color w:val="000000"/>
                <w:sz w:val="18"/>
                <w:szCs w:val="18"/>
              </w:rPr>
              <w:t>General Medicine</w:t>
            </w:r>
          </w:p>
        </w:tc>
        <w:tc>
          <w:tcPr>
            <w:tcW w:w="955" w:type="dxa"/>
            <w:noWrap/>
            <w:vAlign w:val="bottom"/>
          </w:tcPr>
          <w:p w14:paraId="767591AC"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color w:val="000000"/>
                <w:sz w:val="18"/>
                <w:szCs w:val="18"/>
              </w:rPr>
              <w:t>£179</w:t>
            </w:r>
          </w:p>
        </w:tc>
        <w:tc>
          <w:tcPr>
            <w:tcW w:w="1262" w:type="dxa"/>
            <w:vAlign w:val="bottom"/>
          </w:tcPr>
          <w:p w14:paraId="1762593D"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color w:val="000000"/>
                <w:sz w:val="18"/>
                <w:szCs w:val="18"/>
              </w:rPr>
              <w:t>8,517</w:t>
            </w:r>
          </w:p>
        </w:tc>
      </w:tr>
      <w:tr w:rsidR="00FE37DB" w:rsidRPr="00A20A17" w14:paraId="260EE3B9" w14:textId="77777777" w:rsidTr="00A80B48">
        <w:trPr>
          <w:trHeight w:val="300"/>
        </w:trPr>
        <w:tc>
          <w:tcPr>
            <w:tcW w:w="4815" w:type="dxa"/>
            <w:noWrap/>
            <w:vAlign w:val="bottom"/>
          </w:tcPr>
          <w:p w14:paraId="12C80E67"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color w:val="000000"/>
                <w:sz w:val="18"/>
                <w:szCs w:val="18"/>
              </w:rPr>
              <w:t>Multiprofessional Non-Admitted Non-Face-to-Face Attendance, Follow-up</w:t>
            </w:r>
          </w:p>
        </w:tc>
        <w:tc>
          <w:tcPr>
            <w:tcW w:w="1984" w:type="dxa"/>
            <w:noWrap/>
            <w:vAlign w:val="bottom"/>
          </w:tcPr>
          <w:p w14:paraId="1FDD3A3F"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color w:val="000000"/>
                <w:sz w:val="18"/>
                <w:szCs w:val="18"/>
              </w:rPr>
              <w:t>Chemical Pathology</w:t>
            </w:r>
          </w:p>
        </w:tc>
        <w:tc>
          <w:tcPr>
            <w:tcW w:w="955" w:type="dxa"/>
            <w:noWrap/>
            <w:vAlign w:val="bottom"/>
          </w:tcPr>
          <w:p w14:paraId="0510388A"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color w:val="000000"/>
                <w:sz w:val="18"/>
                <w:szCs w:val="18"/>
              </w:rPr>
              <w:t>£26</w:t>
            </w:r>
          </w:p>
        </w:tc>
        <w:tc>
          <w:tcPr>
            <w:tcW w:w="1262" w:type="dxa"/>
            <w:vAlign w:val="bottom"/>
          </w:tcPr>
          <w:p w14:paraId="5A55BBB5"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color w:val="000000"/>
                <w:sz w:val="18"/>
                <w:szCs w:val="18"/>
              </w:rPr>
              <w:t>1</w:t>
            </w:r>
          </w:p>
        </w:tc>
      </w:tr>
      <w:tr w:rsidR="00FE37DB" w:rsidRPr="00A20A17" w14:paraId="5951ECCE" w14:textId="77777777" w:rsidTr="00A80B48">
        <w:trPr>
          <w:trHeight w:val="300"/>
        </w:trPr>
        <w:tc>
          <w:tcPr>
            <w:tcW w:w="4815" w:type="dxa"/>
            <w:noWrap/>
            <w:vAlign w:val="bottom"/>
          </w:tcPr>
          <w:p w14:paraId="2443094C"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color w:val="000000"/>
                <w:sz w:val="18"/>
                <w:szCs w:val="18"/>
              </w:rPr>
              <w:t>Multiprofessional Non-Admitted Non-Face-to-Face Attendance, Follow-up</w:t>
            </w:r>
          </w:p>
        </w:tc>
        <w:tc>
          <w:tcPr>
            <w:tcW w:w="1984" w:type="dxa"/>
            <w:noWrap/>
            <w:vAlign w:val="bottom"/>
          </w:tcPr>
          <w:p w14:paraId="3AC88153"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color w:val="000000"/>
                <w:sz w:val="18"/>
                <w:szCs w:val="18"/>
              </w:rPr>
              <w:t>Endocrinology</w:t>
            </w:r>
          </w:p>
        </w:tc>
        <w:tc>
          <w:tcPr>
            <w:tcW w:w="955" w:type="dxa"/>
            <w:noWrap/>
            <w:vAlign w:val="bottom"/>
          </w:tcPr>
          <w:p w14:paraId="39162964"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color w:val="000000"/>
                <w:sz w:val="18"/>
                <w:szCs w:val="18"/>
              </w:rPr>
              <w:t>£69</w:t>
            </w:r>
          </w:p>
        </w:tc>
        <w:tc>
          <w:tcPr>
            <w:tcW w:w="1262" w:type="dxa"/>
            <w:vAlign w:val="bottom"/>
          </w:tcPr>
          <w:p w14:paraId="223EABCF"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color w:val="000000"/>
                <w:sz w:val="18"/>
                <w:szCs w:val="18"/>
              </w:rPr>
              <w:t>2,665</w:t>
            </w:r>
          </w:p>
        </w:tc>
      </w:tr>
      <w:tr w:rsidR="00FE37DB" w:rsidRPr="00A20A17" w14:paraId="6DBF5FC7" w14:textId="77777777" w:rsidTr="00A80B48">
        <w:trPr>
          <w:trHeight w:val="300"/>
        </w:trPr>
        <w:tc>
          <w:tcPr>
            <w:tcW w:w="4815" w:type="dxa"/>
            <w:noWrap/>
            <w:vAlign w:val="bottom"/>
          </w:tcPr>
          <w:p w14:paraId="36F6750D"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color w:val="000000"/>
                <w:sz w:val="18"/>
                <w:szCs w:val="18"/>
              </w:rPr>
              <w:t>Multiprofessional Non-Admitted Non-Face-to-Face Attendance, Follow-up</w:t>
            </w:r>
          </w:p>
        </w:tc>
        <w:tc>
          <w:tcPr>
            <w:tcW w:w="1984" w:type="dxa"/>
            <w:noWrap/>
            <w:vAlign w:val="bottom"/>
          </w:tcPr>
          <w:p w14:paraId="27F541E0"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color w:val="000000"/>
                <w:sz w:val="18"/>
                <w:szCs w:val="18"/>
              </w:rPr>
              <w:t>General Medicine</w:t>
            </w:r>
          </w:p>
        </w:tc>
        <w:tc>
          <w:tcPr>
            <w:tcW w:w="955" w:type="dxa"/>
            <w:noWrap/>
            <w:vAlign w:val="bottom"/>
          </w:tcPr>
          <w:p w14:paraId="06ECF32A"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color w:val="000000"/>
                <w:sz w:val="18"/>
                <w:szCs w:val="18"/>
              </w:rPr>
              <w:t>£63</w:t>
            </w:r>
          </w:p>
        </w:tc>
        <w:tc>
          <w:tcPr>
            <w:tcW w:w="1262" w:type="dxa"/>
            <w:vAlign w:val="bottom"/>
          </w:tcPr>
          <w:p w14:paraId="4B393BFE"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color w:val="000000"/>
                <w:sz w:val="18"/>
                <w:szCs w:val="18"/>
              </w:rPr>
              <w:t>122</w:t>
            </w:r>
          </w:p>
        </w:tc>
      </w:tr>
      <w:tr w:rsidR="00FE37DB" w:rsidRPr="00A20A17" w14:paraId="1A8253CE" w14:textId="77777777" w:rsidTr="00A80B48">
        <w:trPr>
          <w:trHeight w:val="300"/>
        </w:trPr>
        <w:tc>
          <w:tcPr>
            <w:tcW w:w="4815" w:type="dxa"/>
            <w:noWrap/>
            <w:vAlign w:val="bottom"/>
          </w:tcPr>
          <w:p w14:paraId="61CA53B2"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color w:val="000000"/>
                <w:sz w:val="18"/>
                <w:szCs w:val="18"/>
              </w:rPr>
              <w:t>Non-Admitted Face-to-Face Attendance, Follow-up</w:t>
            </w:r>
          </w:p>
        </w:tc>
        <w:tc>
          <w:tcPr>
            <w:tcW w:w="1984" w:type="dxa"/>
            <w:noWrap/>
            <w:vAlign w:val="bottom"/>
          </w:tcPr>
          <w:p w14:paraId="29F9BDFD"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color w:val="000000"/>
                <w:sz w:val="18"/>
                <w:szCs w:val="18"/>
              </w:rPr>
              <w:t>Chemical Pathology</w:t>
            </w:r>
          </w:p>
        </w:tc>
        <w:tc>
          <w:tcPr>
            <w:tcW w:w="955" w:type="dxa"/>
            <w:noWrap/>
            <w:vAlign w:val="bottom"/>
          </w:tcPr>
          <w:p w14:paraId="6CFA6315"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color w:val="000000"/>
                <w:sz w:val="18"/>
                <w:szCs w:val="18"/>
              </w:rPr>
              <w:t>£130</w:t>
            </w:r>
          </w:p>
        </w:tc>
        <w:tc>
          <w:tcPr>
            <w:tcW w:w="1262" w:type="dxa"/>
            <w:vAlign w:val="bottom"/>
          </w:tcPr>
          <w:p w14:paraId="5CB8041A"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color w:val="000000"/>
                <w:sz w:val="18"/>
                <w:szCs w:val="18"/>
              </w:rPr>
              <w:t>38,098</w:t>
            </w:r>
          </w:p>
        </w:tc>
      </w:tr>
      <w:tr w:rsidR="00FE37DB" w:rsidRPr="00A20A17" w14:paraId="498FAA70" w14:textId="77777777" w:rsidTr="00A80B48">
        <w:trPr>
          <w:trHeight w:val="300"/>
        </w:trPr>
        <w:tc>
          <w:tcPr>
            <w:tcW w:w="6799" w:type="dxa"/>
            <w:gridSpan w:val="2"/>
            <w:noWrap/>
            <w:vAlign w:val="bottom"/>
          </w:tcPr>
          <w:p w14:paraId="14D5D111" w14:textId="77777777" w:rsidR="00FE37DB" w:rsidRPr="00A20A17" w:rsidRDefault="00FE37DB" w:rsidP="00A80B48">
            <w:pPr>
              <w:spacing w:before="60" w:after="60" w:line="240" w:lineRule="auto"/>
              <w:jc w:val="right"/>
              <w:rPr>
                <w:rFonts w:ascii="Calibri" w:eastAsia="Calibri" w:hAnsi="Calibri" w:cs="Calibri"/>
                <w:b/>
                <w:bCs/>
                <w:color w:val="000000"/>
                <w:sz w:val="18"/>
                <w:szCs w:val="18"/>
              </w:rPr>
            </w:pPr>
            <w:r w:rsidRPr="00A20A17">
              <w:rPr>
                <w:rFonts w:ascii="Calibri" w:eastAsia="Calibri" w:hAnsi="Calibri" w:cs="Calibri"/>
                <w:b/>
                <w:bCs/>
                <w:color w:val="000000"/>
                <w:sz w:val="18"/>
                <w:szCs w:val="18"/>
              </w:rPr>
              <w:t>Cost of follow-up appointments; adults</w:t>
            </w:r>
          </w:p>
        </w:tc>
        <w:tc>
          <w:tcPr>
            <w:tcW w:w="955" w:type="dxa"/>
            <w:noWrap/>
            <w:vAlign w:val="bottom"/>
          </w:tcPr>
          <w:p w14:paraId="69C23ABC" w14:textId="77777777" w:rsidR="00FE37DB" w:rsidRPr="00A20A17" w:rsidRDefault="00FE37DB" w:rsidP="00A80B48">
            <w:pPr>
              <w:spacing w:before="60" w:after="60" w:line="240" w:lineRule="auto"/>
              <w:jc w:val="right"/>
              <w:rPr>
                <w:rFonts w:ascii="Calibri" w:eastAsia="Calibri" w:hAnsi="Calibri" w:cs="Calibri"/>
                <w:b/>
                <w:bCs/>
                <w:color w:val="000000"/>
                <w:sz w:val="18"/>
                <w:szCs w:val="18"/>
              </w:rPr>
            </w:pPr>
            <w:r w:rsidRPr="00A20A17">
              <w:rPr>
                <w:rFonts w:ascii="Calibri" w:eastAsia="Calibri" w:hAnsi="Calibri" w:cs="Calibri"/>
                <w:b/>
                <w:bCs/>
                <w:color w:val="000000"/>
                <w:sz w:val="18"/>
                <w:szCs w:val="18"/>
              </w:rPr>
              <w:t>£159</w:t>
            </w:r>
          </w:p>
        </w:tc>
        <w:tc>
          <w:tcPr>
            <w:tcW w:w="1262" w:type="dxa"/>
            <w:vAlign w:val="bottom"/>
          </w:tcPr>
          <w:p w14:paraId="5B543C06"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N/A</w:t>
            </w:r>
          </w:p>
        </w:tc>
      </w:tr>
      <w:tr w:rsidR="00FE37DB" w:rsidRPr="00A20A17" w14:paraId="06501D6A" w14:textId="77777777" w:rsidTr="00A80B48">
        <w:trPr>
          <w:trHeight w:val="300"/>
        </w:trPr>
        <w:tc>
          <w:tcPr>
            <w:tcW w:w="0" w:type="auto"/>
            <w:gridSpan w:val="4"/>
            <w:shd w:val="clear" w:color="auto" w:fill="E7E6E6"/>
            <w:noWrap/>
            <w:vAlign w:val="bottom"/>
          </w:tcPr>
          <w:p w14:paraId="278A78FC"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Children</w:t>
            </w:r>
          </w:p>
        </w:tc>
      </w:tr>
      <w:tr w:rsidR="00FE37DB" w:rsidRPr="00A20A17" w14:paraId="09487399" w14:textId="77777777" w:rsidTr="00A80B48">
        <w:trPr>
          <w:trHeight w:val="300"/>
        </w:trPr>
        <w:tc>
          <w:tcPr>
            <w:tcW w:w="4815" w:type="dxa"/>
            <w:noWrap/>
            <w:vAlign w:val="bottom"/>
          </w:tcPr>
          <w:p w14:paraId="4A851205" w14:textId="77777777" w:rsidR="00FE37DB" w:rsidRPr="00A20A17" w:rsidRDefault="00FE37DB" w:rsidP="00A80B48">
            <w:pPr>
              <w:spacing w:before="60" w:after="60" w:line="240" w:lineRule="auto"/>
              <w:rPr>
                <w:rFonts w:ascii="Calibri" w:eastAsia="Calibri" w:hAnsi="Calibri" w:cs="Calibri"/>
                <w:color w:val="000000"/>
                <w:sz w:val="18"/>
                <w:szCs w:val="18"/>
              </w:rPr>
            </w:pPr>
            <w:r w:rsidRPr="00A20A17">
              <w:rPr>
                <w:rFonts w:ascii="Calibri" w:eastAsia="Calibri" w:hAnsi="Calibri" w:cs="Calibri"/>
                <w:color w:val="000000"/>
                <w:sz w:val="18"/>
                <w:szCs w:val="18"/>
              </w:rPr>
              <w:t>Non-Admitted Face-to-Face Attendance, First, consultant led</w:t>
            </w:r>
          </w:p>
        </w:tc>
        <w:tc>
          <w:tcPr>
            <w:tcW w:w="1984" w:type="dxa"/>
            <w:noWrap/>
            <w:vAlign w:val="bottom"/>
          </w:tcPr>
          <w:p w14:paraId="6E113197" w14:textId="77777777" w:rsidR="00FE37DB" w:rsidRPr="00A20A17" w:rsidRDefault="00FE37DB" w:rsidP="00A80B48">
            <w:pPr>
              <w:spacing w:before="60" w:after="60" w:line="240" w:lineRule="auto"/>
              <w:rPr>
                <w:rFonts w:ascii="Calibri" w:eastAsia="Calibri" w:hAnsi="Calibri" w:cs="Calibri"/>
                <w:color w:val="000000"/>
                <w:sz w:val="18"/>
                <w:szCs w:val="18"/>
              </w:rPr>
            </w:pPr>
            <w:r w:rsidRPr="00A20A17">
              <w:rPr>
                <w:rFonts w:ascii="Calibri" w:eastAsia="Calibri" w:hAnsi="Calibri" w:cs="Calibri"/>
                <w:color w:val="000000"/>
                <w:sz w:val="18"/>
                <w:szCs w:val="18"/>
              </w:rPr>
              <w:t>General paediatrics</w:t>
            </w:r>
          </w:p>
        </w:tc>
        <w:tc>
          <w:tcPr>
            <w:tcW w:w="955" w:type="dxa"/>
            <w:noWrap/>
            <w:vAlign w:val="bottom"/>
          </w:tcPr>
          <w:p w14:paraId="24A85DA7" w14:textId="77777777" w:rsidR="00FE37DB" w:rsidRPr="00A20A17" w:rsidRDefault="00FE37DB" w:rsidP="00A80B48">
            <w:pPr>
              <w:spacing w:before="60" w:after="60" w:line="240" w:lineRule="auto"/>
              <w:jc w:val="right"/>
              <w:rPr>
                <w:rFonts w:ascii="Calibri" w:eastAsia="Calibri" w:hAnsi="Calibri" w:cs="Calibri"/>
                <w:color w:val="000000"/>
                <w:sz w:val="18"/>
                <w:szCs w:val="18"/>
              </w:rPr>
            </w:pPr>
            <w:r w:rsidRPr="00A20A17">
              <w:rPr>
                <w:rFonts w:ascii="Calibri" w:eastAsia="Calibri" w:hAnsi="Calibri" w:cs="Calibri"/>
                <w:color w:val="000000"/>
                <w:sz w:val="18"/>
                <w:szCs w:val="18"/>
              </w:rPr>
              <w:t>£259</w:t>
            </w:r>
          </w:p>
        </w:tc>
        <w:tc>
          <w:tcPr>
            <w:tcW w:w="1262" w:type="dxa"/>
            <w:vAlign w:val="bottom"/>
          </w:tcPr>
          <w:p w14:paraId="6A1D8371"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color w:val="000000"/>
                <w:sz w:val="18"/>
                <w:szCs w:val="18"/>
              </w:rPr>
              <w:t>620,218</w:t>
            </w:r>
          </w:p>
        </w:tc>
      </w:tr>
      <w:tr w:rsidR="00FE37DB" w:rsidRPr="00A20A17" w14:paraId="0DCEE77B" w14:textId="77777777" w:rsidTr="00A80B48">
        <w:trPr>
          <w:trHeight w:val="300"/>
        </w:trPr>
        <w:tc>
          <w:tcPr>
            <w:tcW w:w="4815" w:type="dxa"/>
            <w:noWrap/>
            <w:vAlign w:val="bottom"/>
          </w:tcPr>
          <w:p w14:paraId="3B877D7D" w14:textId="77777777" w:rsidR="00FE37DB" w:rsidRPr="00A20A17" w:rsidRDefault="00FE37DB" w:rsidP="00A80B48">
            <w:pPr>
              <w:spacing w:before="60" w:after="60" w:line="240" w:lineRule="auto"/>
              <w:rPr>
                <w:rFonts w:ascii="Calibri" w:eastAsia="Calibri" w:hAnsi="Calibri" w:cs="Calibri"/>
                <w:color w:val="000000"/>
                <w:sz w:val="18"/>
                <w:szCs w:val="18"/>
              </w:rPr>
            </w:pPr>
            <w:r w:rsidRPr="00A20A17">
              <w:rPr>
                <w:rFonts w:ascii="Calibri" w:eastAsia="Calibri" w:hAnsi="Calibri" w:cs="Calibri"/>
                <w:color w:val="000000"/>
                <w:sz w:val="18"/>
                <w:szCs w:val="18"/>
              </w:rPr>
              <w:t>Non-Admitted Face-to-Face Attendance, First, consultant led</w:t>
            </w:r>
          </w:p>
        </w:tc>
        <w:tc>
          <w:tcPr>
            <w:tcW w:w="1984" w:type="dxa"/>
            <w:noWrap/>
            <w:vAlign w:val="bottom"/>
          </w:tcPr>
          <w:p w14:paraId="57E5F422" w14:textId="77777777" w:rsidR="00FE37DB" w:rsidRPr="00A20A17" w:rsidRDefault="00FE37DB" w:rsidP="00A80B48">
            <w:pPr>
              <w:spacing w:before="60" w:after="60" w:line="240" w:lineRule="auto"/>
              <w:rPr>
                <w:rFonts w:ascii="Calibri" w:eastAsia="Calibri" w:hAnsi="Calibri" w:cs="Calibri"/>
                <w:color w:val="000000"/>
                <w:sz w:val="18"/>
                <w:szCs w:val="18"/>
              </w:rPr>
            </w:pPr>
            <w:r w:rsidRPr="00A20A17">
              <w:rPr>
                <w:rFonts w:ascii="Calibri" w:eastAsia="Calibri" w:hAnsi="Calibri" w:cs="Calibri"/>
                <w:color w:val="000000"/>
                <w:sz w:val="18"/>
                <w:szCs w:val="18"/>
              </w:rPr>
              <w:t>Paediatric metabolic disease</w:t>
            </w:r>
          </w:p>
        </w:tc>
        <w:tc>
          <w:tcPr>
            <w:tcW w:w="955" w:type="dxa"/>
            <w:noWrap/>
            <w:vAlign w:val="bottom"/>
          </w:tcPr>
          <w:p w14:paraId="2BD3A062" w14:textId="77777777" w:rsidR="00FE37DB" w:rsidRPr="00A20A17" w:rsidRDefault="00FE37DB" w:rsidP="00A80B48">
            <w:pPr>
              <w:spacing w:before="60" w:after="60" w:line="240" w:lineRule="auto"/>
              <w:jc w:val="right"/>
              <w:rPr>
                <w:rFonts w:ascii="Calibri" w:eastAsia="Calibri" w:hAnsi="Calibri" w:cs="Calibri"/>
                <w:color w:val="000000"/>
                <w:sz w:val="18"/>
                <w:szCs w:val="18"/>
              </w:rPr>
            </w:pPr>
            <w:r w:rsidRPr="00A20A17">
              <w:rPr>
                <w:rFonts w:ascii="Calibri" w:eastAsia="Calibri" w:hAnsi="Calibri" w:cs="Calibri"/>
                <w:color w:val="000000"/>
                <w:sz w:val="18"/>
                <w:szCs w:val="18"/>
              </w:rPr>
              <w:t>£796</w:t>
            </w:r>
          </w:p>
        </w:tc>
        <w:tc>
          <w:tcPr>
            <w:tcW w:w="1262" w:type="dxa"/>
            <w:vAlign w:val="bottom"/>
          </w:tcPr>
          <w:p w14:paraId="70BC95E2"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color w:val="000000"/>
                <w:sz w:val="18"/>
                <w:szCs w:val="18"/>
              </w:rPr>
              <w:t>1516</w:t>
            </w:r>
          </w:p>
        </w:tc>
      </w:tr>
      <w:tr w:rsidR="00FE37DB" w:rsidRPr="00A20A17" w14:paraId="574BE83D" w14:textId="77777777" w:rsidTr="00A80B48">
        <w:trPr>
          <w:trHeight w:val="300"/>
        </w:trPr>
        <w:tc>
          <w:tcPr>
            <w:tcW w:w="6799" w:type="dxa"/>
            <w:gridSpan w:val="2"/>
            <w:noWrap/>
            <w:vAlign w:val="bottom"/>
          </w:tcPr>
          <w:p w14:paraId="55930E35" w14:textId="77777777" w:rsidR="00FE37DB" w:rsidRPr="00A20A17" w:rsidRDefault="00FE37DB" w:rsidP="00A80B48">
            <w:pPr>
              <w:spacing w:before="60" w:after="60" w:line="240" w:lineRule="auto"/>
              <w:jc w:val="right"/>
              <w:rPr>
                <w:rFonts w:ascii="Calibri" w:eastAsia="Calibri" w:hAnsi="Calibri" w:cs="Calibri"/>
                <w:b/>
                <w:bCs/>
                <w:color w:val="000000"/>
                <w:sz w:val="18"/>
                <w:szCs w:val="18"/>
              </w:rPr>
            </w:pPr>
            <w:r w:rsidRPr="00A20A17">
              <w:rPr>
                <w:rFonts w:ascii="Calibri" w:eastAsia="Calibri" w:hAnsi="Calibri" w:cs="Calibri"/>
                <w:b/>
                <w:bCs/>
                <w:color w:val="000000"/>
                <w:sz w:val="18"/>
                <w:szCs w:val="18"/>
              </w:rPr>
              <w:t>Cost of first appointment; children</w:t>
            </w:r>
          </w:p>
        </w:tc>
        <w:tc>
          <w:tcPr>
            <w:tcW w:w="955" w:type="dxa"/>
            <w:noWrap/>
            <w:vAlign w:val="bottom"/>
          </w:tcPr>
          <w:p w14:paraId="0594EDC2" w14:textId="77777777" w:rsidR="00FE37DB" w:rsidRPr="00A20A17" w:rsidRDefault="00FE37DB" w:rsidP="00A80B48">
            <w:pPr>
              <w:spacing w:before="60" w:after="60" w:line="240" w:lineRule="auto"/>
              <w:jc w:val="right"/>
              <w:rPr>
                <w:rFonts w:ascii="Calibri" w:eastAsia="Calibri" w:hAnsi="Calibri" w:cs="Calibri"/>
                <w:color w:val="000000"/>
                <w:sz w:val="18"/>
                <w:szCs w:val="18"/>
              </w:rPr>
            </w:pPr>
            <w:r w:rsidRPr="00A20A17">
              <w:rPr>
                <w:rFonts w:ascii="Calibri" w:eastAsia="Calibri" w:hAnsi="Calibri" w:cs="Calibri"/>
                <w:color w:val="000000"/>
                <w:sz w:val="18"/>
                <w:szCs w:val="18"/>
              </w:rPr>
              <w:t>£260</w:t>
            </w:r>
          </w:p>
        </w:tc>
        <w:tc>
          <w:tcPr>
            <w:tcW w:w="1262" w:type="dxa"/>
            <w:vAlign w:val="bottom"/>
          </w:tcPr>
          <w:p w14:paraId="3D71F189"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N/A</w:t>
            </w:r>
          </w:p>
        </w:tc>
      </w:tr>
      <w:tr w:rsidR="00FE37DB" w:rsidRPr="00A20A17" w14:paraId="31F63461" w14:textId="77777777" w:rsidTr="00A80B48">
        <w:trPr>
          <w:trHeight w:val="300"/>
        </w:trPr>
        <w:tc>
          <w:tcPr>
            <w:tcW w:w="4815" w:type="dxa"/>
            <w:noWrap/>
            <w:vAlign w:val="bottom"/>
          </w:tcPr>
          <w:p w14:paraId="16195357" w14:textId="77777777" w:rsidR="00FE37DB" w:rsidRPr="00A20A17" w:rsidRDefault="00FE37DB" w:rsidP="00A80B48">
            <w:pPr>
              <w:spacing w:before="60" w:after="60" w:line="240" w:lineRule="auto"/>
              <w:jc w:val="right"/>
              <w:rPr>
                <w:rFonts w:ascii="Calibri" w:eastAsia="Calibri" w:hAnsi="Calibri" w:cs="Calibri"/>
                <w:color w:val="000000"/>
                <w:sz w:val="18"/>
                <w:szCs w:val="18"/>
              </w:rPr>
            </w:pPr>
            <w:r w:rsidRPr="00A20A17">
              <w:rPr>
                <w:rFonts w:ascii="Calibri" w:eastAsia="Calibri" w:hAnsi="Calibri" w:cs="Calibri"/>
                <w:color w:val="000000"/>
                <w:sz w:val="18"/>
                <w:szCs w:val="18"/>
              </w:rPr>
              <w:t>Non-Admitted Face-to-Face Attendance, Follow-up</w:t>
            </w:r>
          </w:p>
        </w:tc>
        <w:tc>
          <w:tcPr>
            <w:tcW w:w="1984" w:type="dxa"/>
            <w:vAlign w:val="bottom"/>
          </w:tcPr>
          <w:p w14:paraId="649EE8A6" w14:textId="77777777" w:rsidR="00FE37DB" w:rsidRPr="00A20A17" w:rsidRDefault="00FE37DB" w:rsidP="00A80B48">
            <w:pPr>
              <w:spacing w:before="60" w:after="60" w:line="240" w:lineRule="auto"/>
              <w:jc w:val="right"/>
              <w:rPr>
                <w:rFonts w:ascii="Calibri" w:eastAsia="Calibri" w:hAnsi="Calibri" w:cs="Calibri"/>
                <w:color w:val="000000"/>
                <w:sz w:val="18"/>
                <w:szCs w:val="18"/>
              </w:rPr>
            </w:pPr>
            <w:r w:rsidRPr="00A20A17">
              <w:rPr>
                <w:rFonts w:ascii="Calibri" w:eastAsia="Calibri" w:hAnsi="Calibri" w:cs="Calibri"/>
                <w:color w:val="000000"/>
                <w:sz w:val="18"/>
                <w:szCs w:val="18"/>
              </w:rPr>
              <w:t>General paediatrics</w:t>
            </w:r>
          </w:p>
        </w:tc>
        <w:tc>
          <w:tcPr>
            <w:tcW w:w="955" w:type="dxa"/>
            <w:noWrap/>
            <w:vAlign w:val="bottom"/>
          </w:tcPr>
          <w:p w14:paraId="3F50236A" w14:textId="77777777" w:rsidR="00FE37DB" w:rsidRPr="00A20A17" w:rsidRDefault="00FE37DB" w:rsidP="00A80B48">
            <w:pPr>
              <w:spacing w:before="60" w:after="60" w:line="240" w:lineRule="auto"/>
              <w:jc w:val="right"/>
              <w:rPr>
                <w:rFonts w:ascii="Calibri" w:eastAsia="Calibri" w:hAnsi="Calibri" w:cs="Calibri"/>
                <w:color w:val="000000"/>
                <w:sz w:val="18"/>
                <w:szCs w:val="18"/>
              </w:rPr>
            </w:pPr>
            <w:r w:rsidRPr="00A20A17">
              <w:rPr>
                <w:rFonts w:ascii="Calibri" w:eastAsia="Calibri" w:hAnsi="Calibri" w:cs="Calibri"/>
                <w:color w:val="000000"/>
                <w:sz w:val="18"/>
                <w:szCs w:val="18"/>
              </w:rPr>
              <w:t>£211</w:t>
            </w:r>
          </w:p>
        </w:tc>
        <w:tc>
          <w:tcPr>
            <w:tcW w:w="1262" w:type="dxa"/>
            <w:vAlign w:val="bottom"/>
          </w:tcPr>
          <w:p w14:paraId="006B5DB2"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color w:val="000000"/>
                <w:sz w:val="18"/>
                <w:szCs w:val="18"/>
              </w:rPr>
              <w:t>689,355</w:t>
            </w:r>
          </w:p>
        </w:tc>
      </w:tr>
      <w:tr w:rsidR="00FE37DB" w:rsidRPr="00A20A17" w14:paraId="5C3EFB5E" w14:textId="77777777" w:rsidTr="00A80B48">
        <w:trPr>
          <w:trHeight w:val="300"/>
        </w:trPr>
        <w:tc>
          <w:tcPr>
            <w:tcW w:w="4815" w:type="dxa"/>
            <w:noWrap/>
            <w:vAlign w:val="bottom"/>
          </w:tcPr>
          <w:p w14:paraId="4D44485A" w14:textId="77777777" w:rsidR="00FE37DB" w:rsidRPr="00A20A17" w:rsidRDefault="00FE37DB" w:rsidP="00A80B48">
            <w:pPr>
              <w:spacing w:before="60" w:after="60" w:line="240" w:lineRule="auto"/>
              <w:jc w:val="right"/>
              <w:rPr>
                <w:rFonts w:ascii="Calibri" w:eastAsia="Calibri" w:hAnsi="Calibri" w:cs="Calibri"/>
                <w:color w:val="000000"/>
                <w:sz w:val="18"/>
                <w:szCs w:val="18"/>
              </w:rPr>
            </w:pPr>
            <w:r w:rsidRPr="00A20A17">
              <w:rPr>
                <w:rFonts w:ascii="Calibri" w:eastAsia="Calibri" w:hAnsi="Calibri" w:cs="Calibri"/>
                <w:color w:val="000000"/>
                <w:sz w:val="18"/>
                <w:szCs w:val="18"/>
              </w:rPr>
              <w:t>Non-Admitted Face-to-Face Attendance, Follow-up</w:t>
            </w:r>
          </w:p>
        </w:tc>
        <w:tc>
          <w:tcPr>
            <w:tcW w:w="1984" w:type="dxa"/>
            <w:vAlign w:val="bottom"/>
          </w:tcPr>
          <w:p w14:paraId="4F98853D" w14:textId="77777777" w:rsidR="00FE37DB" w:rsidRPr="00A20A17" w:rsidRDefault="00FE37DB" w:rsidP="00A80B48">
            <w:pPr>
              <w:spacing w:before="60" w:after="60" w:line="240" w:lineRule="auto"/>
              <w:jc w:val="right"/>
              <w:rPr>
                <w:rFonts w:ascii="Calibri" w:eastAsia="Calibri" w:hAnsi="Calibri" w:cs="Calibri"/>
                <w:color w:val="000000"/>
                <w:sz w:val="18"/>
                <w:szCs w:val="18"/>
              </w:rPr>
            </w:pPr>
            <w:r w:rsidRPr="00A20A17">
              <w:rPr>
                <w:rFonts w:ascii="Calibri" w:eastAsia="Calibri" w:hAnsi="Calibri" w:cs="Calibri"/>
                <w:color w:val="000000"/>
                <w:sz w:val="18"/>
                <w:szCs w:val="18"/>
              </w:rPr>
              <w:t>Paediatric metabolic disease</w:t>
            </w:r>
          </w:p>
        </w:tc>
        <w:tc>
          <w:tcPr>
            <w:tcW w:w="955" w:type="dxa"/>
            <w:noWrap/>
            <w:vAlign w:val="bottom"/>
          </w:tcPr>
          <w:p w14:paraId="293C63E8" w14:textId="77777777" w:rsidR="00FE37DB" w:rsidRPr="00A20A17" w:rsidRDefault="00FE37DB" w:rsidP="00A80B48">
            <w:pPr>
              <w:spacing w:before="60" w:after="60" w:line="240" w:lineRule="auto"/>
              <w:jc w:val="right"/>
              <w:rPr>
                <w:rFonts w:ascii="Calibri" w:eastAsia="Calibri" w:hAnsi="Calibri" w:cs="Calibri"/>
                <w:color w:val="000000"/>
                <w:sz w:val="18"/>
                <w:szCs w:val="18"/>
              </w:rPr>
            </w:pPr>
            <w:r w:rsidRPr="00A20A17">
              <w:rPr>
                <w:rFonts w:ascii="Calibri" w:eastAsia="Calibri" w:hAnsi="Calibri" w:cs="Calibri"/>
                <w:color w:val="000000"/>
                <w:sz w:val="18"/>
                <w:szCs w:val="18"/>
              </w:rPr>
              <w:t>£407</w:t>
            </w:r>
          </w:p>
        </w:tc>
        <w:tc>
          <w:tcPr>
            <w:tcW w:w="1262" w:type="dxa"/>
            <w:vAlign w:val="bottom"/>
          </w:tcPr>
          <w:p w14:paraId="0CD18098"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color w:val="000000"/>
                <w:sz w:val="18"/>
                <w:szCs w:val="18"/>
              </w:rPr>
              <w:t>11,832</w:t>
            </w:r>
          </w:p>
        </w:tc>
      </w:tr>
      <w:tr w:rsidR="00FE37DB" w:rsidRPr="00A20A17" w14:paraId="02E5F1E3" w14:textId="77777777" w:rsidTr="00A80B48">
        <w:trPr>
          <w:trHeight w:val="300"/>
        </w:trPr>
        <w:tc>
          <w:tcPr>
            <w:tcW w:w="4815" w:type="dxa"/>
            <w:noWrap/>
            <w:vAlign w:val="bottom"/>
          </w:tcPr>
          <w:p w14:paraId="773E2F2B" w14:textId="77777777" w:rsidR="00FE37DB" w:rsidRPr="00A20A17" w:rsidRDefault="00FE37DB" w:rsidP="00A80B48">
            <w:pPr>
              <w:spacing w:before="60" w:after="60" w:line="240" w:lineRule="auto"/>
              <w:jc w:val="right"/>
              <w:rPr>
                <w:rFonts w:ascii="Calibri" w:eastAsia="Calibri" w:hAnsi="Calibri" w:cs="Calibri"/>
                <w:color w:val="000000"/>
                <w:sz w:val="18"/>
                <w:szCs w:val="18"/>
              </w:rPr>
            </w:pPr>
            <w:r w:rsidRPr="00A20A17">
              <w:rPr>
                <w:rFonts w:ascii="Calibri" w:eastAsia="Calibri" w:hAnsi="Calibri" w:cs="Calibri"/>
                <w:color w:val="000000"/>
                <w:sz w:val="18"/>
                <w:szCs w:val="18"/>
              </w:rPr>
              <w:t>Non-Admitted Non-Face-to-Face Attendance, Follow-up</w:t>
            </w:r>
          </w:p>
        </w:tc>
        <w:tc>
          <w:tcPr>
            <w:tcW w:w="1984" w:type="dxa"/>
            <w:vAlign w:val="bottom"/>
          </w:tcPr>
          <w:p w14:paraId="27A485A6" w14:textId="77777777" w:rsidR="00FE37DB" w:rsidRPr="00A20A17" w:rsidRDefault="00FE37DB" w:rsidP="00A80B48">
            <w:pPr>
              <w:spacing w:before="60" w:after="60" w:line="240" w:lineRule="auto"/>
              <w:jc w:val="right"/>
              <w:rPr>
                <w:rFonts w:ascii="Calibri" w:eastAsia="Calibri" w:hAnsi="Calibri" w:cs="Calibri"/>
                <w:color w:val="000000"/>
                <w:sz w:val="18"/>
                <w:szCs w:val="18"/>
              </w:rPr>
            </w:pPr>
            <w:r w:rsidRPr="00A20A17">
              <w:rPr>
                <w:rFonts w:ascii="Calibri" w:eastAsia="Calibri" w:hAnsi="Calibri" w:cs="Calibri"/>
                <w:color w:val="000000"/>
                <w:sz w:val="18"/>
                <w:szCs w:val="18"/>
              </w:rPr>
              <w:t>General paediatrics</w:t>
            </w:r>
          </w:p>
        </w:tc>
        <w:tc>
          <w:tcPr>
            <w:tcW w:w="955" w:type="dxa"/>
            <w:noWrap/>
            <w:vAlign w:val="bottom"/>
          </w:tcPr>
          <w:p w14:paraId="6DA8030D" w14:textId="77777777" w:rsidR="00FE37DB" w:rsidRPr="00A20A17" w:rsidRDefault="00FE37DB" w:rsidP="00A80B48">
            <w:pPr>
              <w:spacing w:before="60" w:after="60" w:line="240" w:lineRule="auto"/>
              <w:jc w:val="right"/>
              <w:rPr>
                <w:rFonts w:ascii="Calibri" w:eastAsia="Calibri" w:hAnsi="Calibri" w:cs="Calibri"/>
                <w:color w:val="000000"/>
                <w:sz w:val="18"/>
                <w:szCs w:val="18"/>
              </w:rPr>
            </w:pPr>
            <w:r w:rsidRPr="00A20A17">
              <w:rPr>
                <w:rFonts w:ascii="Calibri" w:eastAsia="Calibri" w:hAnsi="Calibri" w:cs="Calibri"/>
                <w:color w:val="000000"/>
                <w:sz w:val="18"/>
                <w:szCs w:val="18"/>
              </w:rPr>
              <w:t>£123</w:t>
            </w:r>
          </w:p>
        </w:tc>
        <w:tc>
          <w:tcPr>
            <w:tcW w:w="1262" w:type="dxa"/>
            <w:vAlign w:val="bottom"/>
          </w:tcPr>
          <w:p w14:paraId="6189EA14"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color w:val="000000"/>
                <w:sz w:val="18"/>
                <w:szCs w:val="18"/>
              </w:rPr>
              <w:t>22,440</w:t>
            </w:r>
          </w:p>
        </w:tc>
      </w:tr>
      <w:tr w:rsidR="00FE37DB" w:rsidRPr="00A20A17" w14:paraId="584A10FE" w14:textId="77777777" w:rsidTr="00A80B48">
        <w:trPr>
          <w:trHeight w:val="300"/>
        </w:trPr>
        <w:tc>
          <w:tcPr>
            <w:tcW w:w="4815" w:type="dxa"/>
            <w:noWrap/>
            <w:vAlign w:val="bottom"/>
          </w:tcPr>
          <w:p w14:paraId="4A7D452A" w14:textId="77777777" w:rsidR="00FE37DB" w:rsidRPr="00A20A17" w:rsidRDefault="00FE37DB" w:rsidP="00A80B48">
            <w:pPr>
              <w:spacing w:before="60" w:after="60" w:line="240" w:lineRule="auto"/>
              <w:jc w:val="right"/>
              <w:rPr>
                <w:rFonts w:ascii="Calibri" w:eastAsia="Calibri" w:hAnsi="Calibri" w:cs="Calibri"/>
                <w:color w:val="000000"/>
                <w:sz w:val="18"/>
                <w:szCs w:val="18"/>
              </w:rPr>
            </w:pPr>
            <w:r w:rsidRPr="00A20A17">
              <w:rPr>
                <w:rFonts w:ascii="Calibri" w:eastAsia="Calibri" w:hAnsi="Calibri" w:cs="Calibri"/>
                <w:color w:val="000000"/>
                <w:sz w:val="18"/>
                <w:szCs w:val="18"/>
              </w:rPr>
              <w:t>Non-Admitted Non-Face-to-Face Attendance, Follow-up</w:t>
            </w:r>
          </w:p>
        </w:tc>
        <w:tc>
          <w:tcPr>
            <w:tcW w:w="1984" w:type="dxa"/>
            <w:vAlign w:val="bottom"/>
          </w:tcPr>
          <w:p w14:paraId="42D342D6" w14:textId="77777777" w:rsidR="00FE37DB" w:rsidRPr="00A20A17" w:rsidRDefault="00FE37DB" w:rsidP="00A80B48">
            <w:pPr>
              <w:spacing w:before="60" w:after="60" w:line="240" w:lineRule="auto"/>
              <w:jc w:val="right"/>
              <w:rPr>
                <w:rFonts w:ascii="Calibri" w:eastAsia="Calibri" w:hAnsi="Calibri" w:cs="Calibri"/>
                <w:color w:val="000000"/>
                <w:sz w:val="18"/>
                <w:szCs w:val="18"/>
              </w:rPr>
            </w:pPr>
            <w:r w:rsidRPr="00A20A17">
              <w:rPr>
                <w:rFonts w:ascii="Calibri" w:eastAsia="Calibri" w:hAnsi="Calibri" w:cs="Calibri"/>
                <w:color w:val="000000"/>
                <w:sz w:val="18"/>
                <w:szCs w:val="18"/>
              </w:rPr>
              <w:t>Paediatric metabolic disease</w:t>
            </w:r>
          </w:p>
        </w:tc>
        <w:tc>
          <w:tcPr>
            <w:tcW w:w="955" w:type="dxa"/>
            <w:noWrap/>
            <w:vAlign w:val="bottom"/>
          </w:tcPr>
          <w:p w14:paraId="3DB7EFC6" w14:textId="77777777" w:rsidR="00FE37DB" w:rsidRPr="00A20A17" w:rsidRDefault="00FE37DB" w:rsidP="00A80B48">
            <w:pPr>
              <w:spacing w:before="60" w:after="60" w:line="240" w:lineRule="auto"/>
              <w:jc w:val="right"/>
              <w:rPr>
                <w:rFonts w:ascii="Calibri" w:eastAsia="Calibri" w:hAnsi="Calibri" w:cs="Calibri"/>
                <w:color w:val="000000"/>
                <w:sz w:val="18"/>
                <w:szCs w:val="18"/>
              </w:rPr>
            </w:pPr>
            <w:r w:rsidRPr="00A20A17">
              <w:rPr>
                <w:rFonts w:ascii="Calibri" w:eastAsia="Calibri" w:hAnsi="Calibri" w:cs="Calibri"/>
                <w:color w:val="000000"/>
                <w:sz w:val="18"/>
                <w:szCs w:val="18"/>
              </w:rPr>
              <w:t>£481</w:t>
            </w:r>
          </w:p>
        </w:tc>
        <w:tc>
          <w:tcPr>
            <w:tcW w:w="1262" w:type="dxa"/>
            <w:vAlign w:val="bottom"/>
          </w:tcPr>
          <w:p w14:paraId="54764536"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color w:val="000000"/>
                <w:sz w:val="18"/>
                <w:szCs w:val="18"/>
              </w:rPr>
              <w:t>15</w:t>
            </w:r>
          </w:p>
        </w:tc>
      </w:tr>
      <w:tr w:rsidR="00FE37DB" w:rsidRPr="00A20A17" w14:paraId="31B89AEA" w14:textId="77777777" w:rsidTr="00A80B48">
        <w:trPr>
          <w:trHeight w:val="300"/>
        </w:trPr>
        <w:tc>
          <w:tcPr>
            <w:tcW w:w="4815" w:type="dxa"/>
            <w:noWrap/>
            <w:vAlign w:val="bottom"/>
          </w:tcPr>
          <w:p w14:paraId="2C7ABB17" w14:textId="77777777" w:rsidR="00FE37DB" w:rsidRPr="00A20A17" w:rsidRDefault="00FE37DB" w:rsidP="00A80B48">
            <w:pPr>
              <w:spacing w:before="60" w:after="60" w:line="240" w:lineRule="auto"/>
              <w:jc w:val="right"/>
              <w:rPr>
                <w:rFonts w:ascii="Calibri" w:eastAsia="Calibri" w:hAnsi="Calibri" w:cs="Calibri"/>
                <w:color w:val="000000"/>
                <w:sz w:val="18"/>
                <w:szCs w:val="18"/>
              </w:rPr>
            </w:pPr>
            <w:r w:rsidRPr="00A20A17">
              <w:rPr>
                <w:rFonts w:ascii="Calibri" w:eastAsia="Calibri" w:hAnsi="Calibri" w:cs="Calibri"/>
                <w:color w:val="000000"/>
                <w:sz w:val="18"/>
                <w:szCs w:val="18"/>
              </w:rPr>
              <w:t>Multiprofessional Non-Admitted Face-to-Face Attendance, Follow-up</w:t>
            </w:r>
          </w:p>
        </w:tc>
        <w:tc>
          <w:tcPr>
            <w:tcW w:w="1984" w:type="dxa"/>
            <w:vAlign w:val="bottom"/>
          </w:tcPr>
          <w:p w14:paraId="7B681A86" w14:textId="77777777" w:rsidR="00FE37DB" w:rsidRPr="00A20A17" w:rsidRDefault="00FE37DB" w:rsidP="00A80B48">
            <w:pPr>
              <w:spacing w:before="60" w:after="60" w:line="240" w:lineRule="auto"/>
              <w:jc w:val="right"/>
              <w:rPr>
                <w:rFonts w:ascii="Calibri" w:eastAsia="Calibri" w:hAnsi="Calibri" w:cs="Calibri"/>
                <w:color w:val="000000"/>
                <w:sz w:val="18"/>
                <w:szCs w:val="18"/>
              </w:rPr>
            </w:pPr>
            <w:r w:rsidRPr="00A20A17">
              <w:rPr>
                <w:rFonts w:ascii="Calibri" w:eastAsia="Calibri" w:hAnsi="Calibri" w:cs="Calibri"/>
                <w:color w:val="000000"/>
                <w:sz w:val="18"/>
                <w:szCs w:val="18"/>
              </w:rPr>
              <w:t>General paediatrics</w:t>
            </w:r>
          </w:p>
        </w:tc>
        <w:tc>
          <w:tcPr>
            <w:tcW w:w="955" w:type="dxa"/>
            <w:noWrap/>
            <w:vAlign w:val="bottom"/>
          </w:tcPr>
          <w:p w14:paraId="63CE7738" w14:textId="77777777" w:rsidR="00FE37DB" w:rsidRPr="00A20A17" w:rsidRDefault="00FE37DB" w:rsidP="00A80B48">
            <w:pPr>
              <w:spacing w:before="60" w:after="60" w:line="240" w:lineRule="auto"/>
              <w:jc w:val="right"/>
              <w:rPr>
                <w:rFonts w:ascii="Calibri" w:eastAsia="Calibri" w:hAnsi="Calibri" w:cs="Calibri"/>
                <w:color w:val="000000"/>
                <w:sz w:val="18"/>
                <w:szCs w:val="18"/>
              </w:rPr>
            </w:pPr>
            <w:r w:rsidRPr="00A20A17">
              <w:rPr>
                <w:rFonts w:ascii="Calibri" w:eastAsia="Calibri" w:hAnsi="Calibri" w:cs="Calibri"/>
                <w:color w:val="000000"/>
                <w:sz w:val="18"/>
                <w:szCs w:val="18"/>
              </w:rPr>
              <w:t>£220</w:t>
            </w:r>
          </w:p>
        </w:tc>
        <w:tc>
          <w:tcPr>
            <w:tcW w:w="1262" w:type="dxa"/>
            <w:vAlign w:val="bottom"/>
          </w:tcPr>
          <w:p w14:paraId="02C098F5"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color w:val="000000"/>
                <w:sz w:val="18"/>
                <w:szCs w:val="18"/>
              </w:rPr>
              <w:t>25,569</w:t>
            </w:r>
          </w:p>
        </w:tc>
      </w:tr>
      <w:tr w:rsidR="00FE37DB" w:rsidRPr="00A20A17" w14:paraId="0B627DA7" w14:textId="77777777" w:rsidTr="00A80B48">
        <w:trPr>
          <w:trHeight w:val="300"/>
        </w:trPr>
        <w:tc>
          <w:tcPr>
            <w:tcW w:w="4815" w:type="dxa"/>
            <w:noWrap/>
            <w:vAlign w:val="bottom"/>
          </w:tcPr>
          <w:p w14:paraId="121BC76C" w14:textId="77777777" w:rsidR="00FE37DB" w:rsidRPr="00A20A17" w:rsidRDefault="00FE37DB" w:rsidP="00A80B48">
            <w:pPr>
              <w:spacing w:before="60" w:after="60" w:line="240" w:lineRule="auto"/>
              <w:jc w:val="right"/>
              <w:rPr>
                <w:rFonts w:ascii="Calibri" w:eastAsia="Calibri" w:hAnsi="Calibri" w:cs="Calibri"/>
                <w:color w:val="000000"/>
                <w:sz w:val="18"/>
                <w:szCs w:val="18"/>
              </w:rPr>
            </w:pPr>
            <w:r w:rsidRPr="00A20A17">
              <w:rPr>
                <w:rFonts w:ascii="Calibri" w:eastAsia="Calibri" w:hAnsi="Calibri" w:cs="Calibri"/>
                <w:color w:val="000000"/>
                <w:sz w:val="18"/>
                <w:szCs w:val="18"/>
              </w:rPr>
              <w:t>Multiprofessional Non-Admitted Face-to-Face Attendance, Follow-up</w:t>
            </w:r>
          </w:p>
        </w:tc>
        <w:tc>
          <w:tcPr>
            <w:tcW w:w="1984" w:type="dxa"/>
            <w:vAlign w:val="bottom"/>
          </w:tcPr>
          <w:p w14:paraId="4EBE3E7E" w14:textId="77777777" w:rsidR="00FE37DB" w:rsidRPr="00A20A17" w:rsidRDefault="00FE37DB" w:rsidP="00A80B48">
            <w:pPr>
              <w:spacing w:before="60" w:after="60" w:line="240" w:lineRule="auto"/>
              <w:jc w:val="right"/>
              <w:rPr>
                <w:rFonts w:ascii="Calibri" w:eastAsia="Calibri" w:hAnsi="Calibri" w:cs="Calibri"/>
                <w:color w:val="000000"/>
                <w:sz w:val="18"/>
                <w:szCs w:val="18"/>
              </w:rPr>
            </w:pPr>
            <w:r w:rsidRPr="00A20A17">
              <w:rPr>
                <w:rFonts w:ascii="Calibri" w:eastAsia="Calibri" w:hAnsi="Calibri" w:cs="Calibri"/>
                <w:color w:val="000000"/>
                <w:sz w:val="18"/>
                <w:szCs w:val="18"/>
              </w:rPr>
              <w:t>Paediatric metabolic disease</w:t>
            </w:r>
          </w:p>
        </w:tc>
        <w:tc>
          <w:tcPr>
            <w:tcW w:w="955" w:type="dxa"/>
            <w:noWrap/>
            <w:vAlign w:val="bottom"/>
          </w:tcPr>
          <w:p w14:paraId="737053D1" w14:textId="77777777" w:rsidR="00FE37DB" w:rsidRPr="00A20A17" w:rsidRDefault="00FE37DB" w:rsidP="00A80B48">
            <w:pPr>
              <w:spacing w:before="60" w:after="60" w:line="240" w:lineRule="auto"/>
              <w:jc w:val="right"/>
              <w:rPr>
                <w:rFonts w:ascii="Calibri" w:eastAsia="Calibri" w:hAnsi="Calibri" w:cs="Calibri"/>
                <w:color w:val="000000"/>
                <w:sz w:val="18"/>
                <w:szCs w:val="18"/>
              </w:rPr>
            </w:pPr>
            <w:r w:rsidRPr="00A20A17">
              <w:rPr>
                <w:rFonts w:ascii="Calibri" w:eastAsia="Calibri" w:hAnsi="Calibri" w:cs="Calibri"/>
                <w:color w:val="000000"/>
                <w:sz w:val="18"/>
                <w:szCs w:val="18"/>
              </w:rPr>
              <w:t>£417</w:t>
            </w:r>
          </w:p>
        </w:tc>
        <w:tc>
          <w:tcPr>
            <w:tcW w:w="1262" w:type="dxa"/>
            <w:vAlign w:val="bottom"/>
          </w:tcPr>
          <w:p w14:paraId="374C7648"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color w:val="000000"/>
                <w:sz w:val="18"/>
                <w:szCs w:val="18"/>
              </w:rPr>
              <w:t>1,472</w:t>
            </w:r>
          </w:p>
        </w:tc>
      </w:tr>
      <w:tr w:rsidR="00FE37DB" w:rsidRPr="00A20A17" w14:paraId="7232293E" w14:textId="77777777" w:rsidTr="00A80B48">
        <w:trPr>
          <w:trHeight w:val="300"/>
        </w:trPr>
        <w:tc>
          <w:tcPr>
            <w:tcW w:w="4815" w:type="dxa"/>
            <w:noWrap/>
            <w:vAlign w:val="bottom"/>
          </w:tcPr>
          <w:p w14:paraId="5C7B2CCF" w14:textId="77777777" w:rsidR="00FE37DB" w:rsidRPr="00A20A17" w:rsidRDefault="00FE37DB" w:rsidP="00A80B48">
            <w:pPr>
              <w:spacing w:before="60" w:after="60" w:line="240" w:lineRule="auto"/>
              <w:jc w:val="right"/>
              <w:rPr>
                <w:rFonts w:ascii="Calibri" w:eastAsia="Calibri" w:hAnsi="Calibri" w:cs="Calibri"/>
                <w:color w:val="000000"/>
                <w:sz w:val="18"/>
                <w:szCs w:val="18"/>
              </w:rPr>
            </w:pPr>
            <w:r w:rsidRPr="00A20A17">
              <w:rPr>
                <w:rFonts w:ascii="Calibri" w:eastAsia="Calibri" w:hAnsi="Calibri" w:cs="Calibri"/>
                <w:color w:val="000000"/>
                <w:sz w:val="18"/>
                <w:szCs w:val="18"/>
              </w:rPr>
              <w:t>Multiprofessional Non-Admitted Non-Face-to-Face Attendance, Follow-up</w:t>
            </w:r>
          </w:p>
        </w:tc>
        <w:tc>
          <w:tcPr>
            <w:tcW w:w="1984" w:type="dxa"/>
            <w:vAlign w:val="bottom"/>
          </w:tcPr>
          <w:p w14:paraId="7C72E36D" w14:textId="77777777" w:rsidR="00FE37DB" w:rsidRPr="00A20A17" w:rsidRDefault="00FE37DB" w:rsidP="00A80B48">
            <w:pPr>
              <w:spacing w:before="60" w:after="60" w:line="240" w:lineRule="auto"/>
              <w:jc w:val="right"/>
              <w:rPr>
                <w:rFonts w:ascii="Calibri" w:eastAsia="Calibri" w:hAnsi="Calibri" w:cs="Calibri"/>
                <w:color w:val="000000"/>
                <w:sz w:val="18"/>
                <w:szCs w:val="18"/>
              </w:rPr>
            </w:pPr>
            <w:r w:rsidRPr="00A20A17">
              <w:rPr>
                <w:rFonts w:ascii="Calibri" w:eastAsia="Calibri" w:hAnsi="Calibri" w:cs="Calibri"/>
                <w:color w:val="000000"/>
                <w:sz w:val="18"/>
                <w:szCs w:val="18"/>
              </w:rPr>
              <w:t>General paediatrics</w:t>
            </w:r>
          </w:p>
        </w:tc>
        <w:tc>
          <w:tcPr>
            <w:tcW w:w="955" w:type="dxa"/>
            <w:noWrap/>
            <w:vAlign w:val="bottom"/>
          </w:tcPr>
          <w:p w14:paraId="5E8BD1D2" w14:textId="77777777" w:rsidR="00FE37DB" w:rsidRPr="00A20A17" w:rsidRDefault="00FE37DB" w:rsidP="00A80B48">
            <w:pPr>
              <w:spacing w:before="60" w:after="60" w:line="240" w:lineRule="auto"/>
              <w:jc w:val="right"/>
              <w:rPr>
                <w:rFonts w:ascii="Calibri" w:eastAsia="Calibri" w:hAnsi="Calibri" w:cs="Calibri"/>
                <w:color w:val="000000"/>
                <w:sz w:val="18"/>
                <w:szCs w:val="18"/>
              </w:rPr>
            </w:pPr>
            <w:r w:rsidRPr="00A20A17">
              <w:rPr>
                <w:rFonts w:ascii="Calibri" w:eastAsia="Calibri" w:hAnsi="Calibri" w:cs="Calibri"/>
                <w:color w:val="000000"/>
                <w:sz w:val="18"/>
                <w:szCs w:val="18"/>
              </w:rPr>
              <w:t>£110</w:t>
            </w:r>
          </w:p>
        </w:tc>
        <w:tc>
          <w:tcPr>
            <w:tcW w:w="1262" w:type="dxa"/>
            <w:vAlign w:val="bottom"/>
          </w:tcPr>
          <w:p w14:paraId="34FD3DA1"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color w:val="000000"/>
                <w:sz w:val="18"/>
                <w:szCs w:val="18"/>
              </w:rPr>
              <w:t>58</w:t>
            </w:r>
          </w:p>
        </w:tc>
      </w:tr>
      <w:tr w:rsidR="00FE37DB" w:rsidRPr="00A20A17" w14:paraId="19AB4F96" w14:textId="77777777" w:rsidTr="00A80B48">
        <w:trPr>
          <w:trHeight w:val="300"/>
        </w:trPr>
        <w:tc>
          <w:tcPr>
            <w:tcW w:w="4815" w:type="dxa"/>
            <w:noWrap/>
            <w:vAlign w:val="bottom"/>
          </w:tcPr>
          <w:p w14:paraId="096534F9" w14:textId="77777777" w:rsidR="00FE37DB" w:rsidRPr="00A20A17" w:rsidRDefault="00FE37DB" w:rsidP="00A80B48">
            <w:pPr>
              <w:spacing w:before="60" w:after="60" w:line="240" w:lineRule="auto"/>
              <w:jc w:val="right"/>
              <w:rPr>
                <w:rFonts w:ascii="Calibri" w:eastAsia="Calibri" w:hAnsi="Calibri" w:cs="Calibri"/>
                <w:color w:val="000000"/>
                <w:sz w:val="18"/>
                <w:szCs w:val="18"/>
              </w:rPr>
            </w:pPr>
            <w:r w:rsidRPr="00A20A17">
              <w:rPr>
                <w:rFonts w:ascii="Calibri" w:eastAsia="Calibri" w:hAnsi="Calibri" w:cs="Calibri"/>
                <w:color w:val="000000"/>
                <w:sz w:val="18"/>
                <w:szCs w:val="18"/>
              </w:rPr>
              <w:t>Multiprofessional Non-Admitted Non-Face-to-Face Attendance, Follow-up</w:t>
            </w:r>
          </w:p>
        </w:tc>
        <w:tc>
          <w:tcPr>
            <w:tcW w:w="1984" w:type="dxa"/>
            <w:vAlign w:val="bottom"/>
          </w:tcPr>
          <w:p w14:paraId="0AADFB45" w14:textId="77777777" w:rsidR="00FE37DB" w:rsidRPr="00A20A17" w:rsidRDefault="00FE37DB" w:rsidP="00A80B48">
            <w:pPr>
              <w:spacing w:before="60" w:after="60" w:line="240" w:lineRule="auto"/>
              <w:jc w:val="right"/>
              <w:rPr>
                <w:rFonts w:ascii="Calibri" w:eastAsia="Calibri" w:hAnsi="Calibri" w:cs="Calibri"/>
                <w:color w:val="000000"/>
                <w:sz w:val="18"/>
                <w:szCs w:val="18"/>
              </w:rPr>
            </w:pPr>
            <w:r w:rsidRPr="00A20A17">
              <w:rPr>
                <w:rFonts w:ascii="Calibri" w:eastAsia="Calibri" w:hAnsi="Calibri" w:cs="Calibri"/>
                <w:color w:val="000000"/>
                <w:sz w:val="18"/>
                <w:szCs w:val="18"/>
              </w:rPr>
              <w:t>Paediatric metabolic disease</w:t>
            </w:r>
          </w:p>
        </w:tc>
        <w:tc>
          <w:tcPr>
            <w:tcW w:w="955" w:type="dxa"/>
            <w:noWrap/>
            <w:vAlign w:val="bottom"/>
          </w:tcPr>
          <w:p w14:paraId="4F8D2C21" w14:textId="77777777" w:rsidR="00FE37DB" w:rsidRPr="00A20A17" w:rsidRDefault="00FE37DB" w:rsidP="00A80B48">
            <w:pPr>
              <w:spacing w:before="60" w:after="60" w:line="240" w:lineRule="auto"/>
              <w:jc w:val="right"/>
              <w:rPr>
                <w:rFonts w:ascii="Calibri" w:eastAsia="Calibri" w:hAnsi="Calibri" w:cs="Calibri"/>
                <w:color w:val="000000"/>
                <w:sz w:val="18"/>
                <w:szCs w:val="18"/>
              </w:rPr>
            </w:pPr>
            <w:r w:rsidRPr="00A20A17">
              <w:rPr>
                <w:rFonts w:ascii="Calibri" w:eastAsia="Calibri" w:hAnsi="Calibri" w:cs="Calibri"/>
                <w:color w:val="000000"/>
                <w:sz w:val="18"/>
                <w:szCs w:val="18"/>
              </w:rPr>
              <w:t>N/A</w:t>
            </w:r>
          </w:p>
        </w:tc>
        <w:tc>
          <w:tcPr>
            <w:tcW w:w="1262" w:type="dxa"/>
            <w:vAlign w:val="bottom"/>
          </w:tcPr>
          <w:p w14:paraId="75E2D250"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color w:val="000000"/>
                <w:sz w:val="18"/>
                <w:szCs w:val="18"/>
              </w:rPr>
              <w:t>0</w:t>
            </w:r>
          </w:p>
        </w:tc>
      </w:tr>
      <w:tr w:rsidR="00FE37DB" w:rsidRPr="00A20A17" w14:paraId="4FABDB94" w14:textId="77777777" w:rsidTr="00A80B48">
        <w:trPr>
          <w:trHeight w:val="300"/>
        </w:trPr>
        <w:tc>
          <w:tcPr>
            <w:tcW w:w="6799" w:type="dxa"/>
            <w:gridSpan w:val="2"/>
            <w:noWrap/>
            <w:vAlign w:val="bottom"/>
          </w:tcPr>
          <w:p w14:paraId="5C18DF2B" w14:textId="77777777" w:rsidR="00FE37DB" w:rsidRPr="00A20A17" w:rsidRDefault="00FE37DB" w:rsidP="00A80B48">
            <w:pPr>
              <w:spacing w:before="60" w:after="60" w:line="240" w:lineRule="auto"/>
              <w:jc w:val="right"/>
              <w:rPr>
                <w:rFonts w:ascii="Calibri" w:eastAsia="Calibri" w:hAnsi="Calibri" w:cs="Calibri"/>
                <w:b/>
                <w:bCs/>
                <w:color w:val="000000"/>
                <w:sz w:val="18"/>
                <w:szCs w:val="18"/>
              </w:rPr>
            </w:pPr>
            <w:r w:rsidRPr="00A20A17">
              <w:rPr>
                <w:rFonts w:ascii="Calibri" w:eastAsia="Calibri" w:hAnsi="Calibri" w:cs="Calibri"/>
                <w:b/>
                <w:bCs/>
                <w:color w:val="000000"/>
                <w:sz w:val="18"/>
                <w:szCs w:val="18"/>
              </w:rPr>
              <w:t>Cost of follow-up appointments; children</w:t>
            </w:r>
          </w:p>
        </w:tc>
        <w:tc>
          <w:tcPr>
            <w:tcW w:w="955" w:type="dxa"/>
            <w:noWrap/>
            <w:vAlign w:val="bottom"/>
          </w:tcPr>
          <w:p w14:paraId="41365EDF" w14:textId="77777777" w:rsidR="00FE37DB" w:rsidRPr="00A20A17" w:rsidRDefault="00FE37DB" w:rsidP="00A80B48">
            <w:pPr>
              <w:spacing w:before="60" w:after="60" w:line="240" w:lineRule="auto"/>
              <w:jc w:val="right"/>
              <w:rPr>
                <w:rFonts w:ascii="Calibri" w:eastAsia="Calibri" w:hAnsi="Calibri" w:cs="Calibri"/>
                <w:b/>
                <w:bCs/>
                <w:color w:val="000000"/>
                <w:sz w:val="18"/>
                <w:szCs w:val="18"/>
              </w:rPr>
            </w:pPr>
            <w:r w:rsidRPr="00A20A17">
              <w:rPr>
                <w:rFonts w:ascii="Calibri" w:eastAsia="Calibri" w:hAnsi="Calibri" w:cs="Calibri"/>
                <w:b/>
                <w:bCs/>
                <w:color w:val="000000"/>
                <w:sz w:val="18"/>
                <w:szCs w:val="18"/>
              </w:rPr>
              <w:t>£212</w:t>
            </w:r>
          </w:p>
        </w:tc>
        <w:tc>
          <w:tcPr>
            <w:tcW w:w="1262" w:type="dxa"/>
            <w:vAlign w:val="bottom"/>
          </w:tcPr>
          <w:p w14:paraId="5DE25A37"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N/A</w:t>
            </w:r>
          </w:p>
        </w:tc>
      </w:tr>
      <w:tr w:rsidR="00FE37DB" w:rsidRPr="00A20A17" w14:paraId="7C9414D7" w14:textId="77777777" w:rsidTr="00A80B48">
        <w:trPr>
          <w:trHeight w:val="300"/>
        </w:trPr>
        <w:tc>
          <w:tcPr>
            <w:tcW w:w="0" w:type="auto"/>
            <w:gridSpan w:val="4"/>
            <w:noWrap/>
            <w:vAlign w:val="bottom"/>
          </w:tcPr>
          <w:p w14:paraId="0F139050"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 xml:space="preserve">Source: NHS Reference Costs 2019 </w:t>
            </w:r>
            <w:r w:rsidRPr="00A20A17">
              <w:rPr>
                <w:rFonts w:ascii="Calibri" w:eastAsia="Calibri" w:hAnsi="Calibri" w:cs="Calibri"/>
                <w:sz w:val="18"/>
                <w:szCs w:val="18"/>
              </w:rPr>
              <w:fldChar w:fldCharType="begin"/>
            </w:r>
            <w:r w:rsidRPr="00A20A17">
              <w:rPr>
                <w:rFonts w:ascii="Calibri" w:eastAsia="Calibri" w:hAnsi="Calibri" w:cs="Calibri"/>
                <w:sz w:val="18"/>
                <w:szCs w:val="18"/>
              </w:rPr>
              <w:instrText xml:space="preserve"> ADDIN EN.CITE &lt;EndNote&gt;&lt;Cite&gt;&lt;Author&gt;NHS England and NHS Improvement&lt;/Author&gt;&lt;Year&gt;2020&lt;/Year&gt;&lt;IDText&gt;National schedule of NHS costs 2019&lt;/IDText&gt;&lt;DisplayText&gt;&lt;style face="superscript"&gt;21&lt;/style&gt;&lt;/DisplayText&gt;&lt;record&gt;&lt;urls&gt;&lt;related-urls&gt;&lt;url&gt;https://www.england.nhs.uk/wp-content/uploads/2020/08/2_-_National_schedule_of_NHS_costs_V2.xlsx&lt;/url&gt;&lt;/related-urls&gt;&lt;/urls&gt;&lt;titles&gt;&lt;title&gt;National schedule of NHS costs 2019&lt;/title&gt;&lt;/titles&gt;&lt;access-date&gt;24/05/2021&lt;/access-date&gt;&lt;contributors&gt;&lt;authors&gt;&lt;author&gt;NHS England and NHS Improvement,&lt;/author&gt;&lt;/authors&gt;&lt;/contributors&gt;&lt;added-date format="utc"&gt;1621867475&lt;/added-date&gt;&lt;ref-type name="Dataset"&gt;59&lt;/ref-type&gt;&lt;dates&gt;&lt;year&gt;2020&lt;/year&gt;&lt;/dates&gt;&lt;rec-number&gt;194&lt;/rec-number&gt;&lt;last-updated-date format="utc"&gt;1621867475&lt;/last-updated-date&gt;&lt;/record&gt;&lt;/Cite&gt;&lt;/EndNote&gt;</w:instrText>
            </w:r>
            <w:r w:rsidRPr="00A20A17">
              <w:rPr>
                <w:rFonts w:ascii="Calibri" w:eastAsia="Calibri" w:hAnsi="Calibri" w:cs="Calibri"/>
                <w:sz w:val="18"/>
                <w:szCs w:val="18"/>
              </w:rPr>
              <w:fldChar w:fldCharType="separate"/>
            </w:r>
            <w:r w:rsidRPr="00A20A17">
              <w:rPr>
                <w:rFonts w:ascii="Calibri" w:eastAsia="Calibri" w:hAnsi="Calibri" w:cs="Calibri"/>
                <w:noProof/>
                <w:sz w:val="18"/>
                <w:szCs w:val="18"/>
                <w:vertAlign w:val="superscript"/>
              </w:rPr>
              <w:t>21</w:t>
            </w:r>
            <w:r w:rsidRPr="00A20A17">
              <w:rPr>
                <w:rFonts w:ascii="Calibri" w:eastAsia="Calibri" w:hAnsi="Calibri" w:cs="Calibri"/>
                <w:sz w:val="18"/>
                <w:szCs w:val="18"/>
              </w:rPr>
              <w:fldChar w:fldCharType="end"/>
            </w:r>
          </w:p>
        </w:tc>
      </w:tr>
    </w:tbl>
    <w:p w14:paraId="57F07CC2" w14:textId="77777777" w:rsidR="00FE37DB" w:rsidRPr="00A20A17" w:rsidRDefault="00FE37DB" w:rsidP="00FE37DB">
      <w:pPr>
        <w:spacing w:before="120" w:after="120"/>
        <w:rPr>
          <w:rFonts w:ascii="Calibri" w:eastAsia="Calibri" w:hAnsi="Calibri" w:cs="Arial"/>
        </w:rPr>
      </w:pPr>
    </w:p>
    <w:p w14:paraId="3FEEF3AC" w14:textId="77777777" w:rsidR="00FE37DB" w:rsidRPr="00A20A17" w:rsidRDefault="00FE37DB" w:rsidP="00FE37DB">
      <w:pPr>
        <w:keepNext/>
        <w:spacing w:before="120"/>
        <w:rPr>
          <w:rFonts w:ascii="Calibri" w:eastAsia="Calibri" w:hAnsi="Calibri" w:cs="Arial"/>
          <w:i/>
          <w:iCs/>
          <w:color w:val="44546A"/>
          <w:sz w:val="18"/>
          <w:szCs w:val="18"/>
        </w:rPr>
      </w:pPr>
      <w:r w:rsidRPr="00A20A17">
        <w:rPr>
          <w:rFonts w:ascii="Calibri" w:eastAsia="Calibri" w:hAnsi="Calibri" w:cs="Arial"/>
          <w:i/>
          <w:iCs/>
          <w:color w:val="44546A"/>
          <w:sz w:val="18"/>
          <w:szCs w:val="18"/>
        </w:rPr>
        <w:t xml:space="preserve">Table </w:t>
      </w:r>
      <w:r w:rsidRPr="00A20A17">
        <w:rPr>
          <w:rFonts w:ascii="Calibri" w:eastAsia="Calibri" w:hAnsi="Calibri" w:cs="Arial"/>
          <w:i/>
          <w:iCs/>
          <w:color w:val="44546A"/>
          <w:sz w:val="18"/>
          <w:szCs w:val="18"/>
        </w:rPr>
        <w:fldChar w:fldCharType="begin"/>
      </w:r>
      <w:r w:rsidRPr="00A20A17">
        <w:rPr>
          <w:rFonts w:ascii="Calibri" w:eastAsia="Calibri" w:hAnsi="Calibri" w:cs="Arial"/>
          <w:i/>
          <w:iCs/>
          <w:color w:val="44546A"/>
          <w:sz w:val="18"/>
          <w:szCs w:val="18"/>
        </w:rPr>
        <w:instrText>SEQ Table \* ARABIC</w:instrText>
      </w:r>
      <w:r w:rsidRPr="00A20A17">
        <w:rPr>
          <w:rFonts w:ascii="Calibri" w:eastAsia="Calibri" w:hAnsi="Calibri" w:cs="Arial"/>
          <w:i/>
          <w:iCs/>
          <w:color w:val="44546A"/>
          <w:sz w:val="18"/>
          <w:szCs w:val="18"/>
        </w:rPr>
        <w:fldChar w:fldCharType="separate"/>
      </w:r>
      <w:r w:rsidRPr="00A20A17">
        <w:rPr>
          <w:rFonts w:ascii="Calibri" w:eastAsia="Calibri" w:hAnsi="Calibri" w:cs="Arial"/>
          <w:i/>
          <w:iCs/>
          <w:noProof/>
          <w:color w:val="44546A"/>
          <w:sz w:val="18"/>
          <w:szCs w:val="18"/>
        </w:rPr>
        <w:t>14</w:t>
      </w:r>
      <w:r w:rsidRPr="00A20A17">
        <w:rPr>
          <w:rFonts w:ascii="Calibri" w:eastAsia="Calibri" w:hAnsi="Calibri" w:cs="Arial"/>
          <w:i/>
          <w:iCs/>
          <w:color w:val="44546A"/>
          <w:sz w:val="18"/>
          <w:szCs w:val="18"/>
        </w:rPr>
        <w:fldChar w:fldCharType="end"/>
      </w:r>
      <w:r w:rsidRPr="00A20A17">
        <w:rPr>
          <w:rFonts w:ascii="Calibri" w:eastAsia="Calibri" w:hAnsi="Calibri" w:cs="Arial"/>
          <w:i/>
          <w:iCs/>
          <w:color w:val="44546A"/>
          <w:sz w:val="18"/>
          <w:szCs w:val="18"/>
        </w:rPr>
        <w:t>: Unit costs to calculate the costs of blood tests</w:t>
      </w:r>
    </w:p>
    <w:tbl>
      <w:tblPr>
        <w:tblStyle w:val="TableGrid2"/>
        <w:tblW w:w="0" w:type="auto"/>
        <w:tblLook w:val="04A0" w:firstRow="1" w:lastRow="0" w:firstColumn="1" w:lastColumn="0" w:noHBand="0" w:noVBand="1"/>
      </w:tblPr>
      <w:tblGrid>
        <w:gridCol w:w="3049"/>
        <w:gridCol w:w="737"/>
        <w:gridCol w:w="5230"/>
      </w:tblGrid>
      <w:tr w:rsidR="00FE37DB" w:rsidRPr="00A20A17" w14:paraId="280176F3" w14:textId="77777777" w:rsidTr="00A80B48">
        <w:trPr>
          <w:trHeight w:val="300"/>
        </w:trPr>
        <w:tc>
          <w:tcPr>
            <w:tcW w:w="0" w:type="auto"/>
            <w:noWrap/>
          </w:tcPr>
          <w:p w14:paraId="4D06D51E"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 xml:space="preserve">Item </w:t>
            </w:r>
          </w:p>
        </w:tc>
        <w:tc>
          <w:tcPr>
            <w:tcW w:w="0" w:type="auto"/>
          </w:tcPr>
          <w:p w14:paraId="1A2AAC41"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Unit cost</w:t>
            </w:r>
          </w:p>
        </w:tc>
        <w:tc>
          <w:tcPr>
            <w:tcW w:w="0" w:type="auto"/>
          </w:tcPr>
          <w:p w14:paraId="721EF09C"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Source</w:t>
            </w:r>
          </w:p>
        </w:tc>
      </w:tr>
      <w:tr w:rsidR="00FE37DB" w:rsidRPr="00A20A17" w14:paraId="04CEF01B" w14:textId="77777777" w:rsidTr="00A80B48">
        <w:trPr>
          <w:trHeight w:val="300"/>
        </w:trPr>
        <w:tc>
          <w:tcPr>
            <w:tcW w:w="0" w:type="auto"/>
            <w:noWrap/>
          </w:tcPr>
          <w:p w14:paraId="5B3D1FDE"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Appointment with general practitioner</w:t>
            </w:r>
          </w:p>
        </w:tc>
        <w:tc>
          <w:tcPr>
            <w:tcW w:w="0" w:type="auto"/>
          </w:tcPr>
          <w:p w14:paraId="52FC6E73"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£33</w:t>
            </w:r>
          </w:p>
        </w:tc>
        <w:tc>
          <w:tcPr>
            <w:tcW w:w="0" w:type="auto"/>
            <w:vAlign w:val="bottom"/>
          </w:tcPr>
          <w:p w14:paraId="392613B6"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 xml:space="preserve">NICE CG181 </w:t>
            </w:r>
            <w:r w:rsidRPr="00A20A17">
              <w:rPr>
                <w:rFonts w:ascii="Calibri" w:eastAsia="Calibri" w:hAnsi="Calibri" w:cs="Calibri"/>
                <w:sz w:val="18"/>
                <w:szCs w:val="18"/>
              </w:rPr>
              <w:fldChar w:fldCharType="begin"/>
            </w:r>
            <w:r w:rsidRPr="00A20A17">
              <w:rPr>
                <w:rFonts w:ascii="Calibri" w:eastAsia="Calibri" w:hAnsi="Calibri" w:cs="Calibri"/>
                <w:sz w:val="18"/>
                <w:szCs w:val="18"/>
              </w:rPr>
              <w:instrText xml:space="preserve"> ADDIN EN.CITE &lt;EndNote&gt;&lt;Cite&gt;&lt;Author&gt;NICE&lt;/Author&gt;&lt;Year&gt;2014&lt;/Year&gt;&lt;IDText&gt;Clinical guideline 181. Lipid modification: cardiovascular risk assessment and the modification of blood lipids for the primary and secondary prevention of cardiovascular disease&lt;/IDText&gt;&lt;DisplayText&gt;&lt;style face="superscript"&gt;12&lt;/style&gt;&lt;/DisplayText&gt;&lt;record&gt;&lt;titles&gt;&lt;title&gt;Clinical guideline 181. Lipid modification: cardiovascular risk assessment and the modification of blood lipids for the primary and secondary prevention of cardiovascular disease&lt;/title&gt;&lt;short-title&gt;Clinical guideline 181. Lipid modification: cardiovascular risk assessment and the modification of blood lipids for the primary and secondary prevention of cardiovascular disease&lt;/short-title&gt;&lt;/titles&gt;&lt;contributors&gt;&lt;authors&gt;&lt;author&gt;NICE&lt;/author&gt;&lt;/authors&gt;&lt;/contributors&gt;&lt;added-date format="utc"&gt;1603453281&lt;/added-date&gt;&lt;ref-type name="Report"&gt;27&lt;/ref-type&gt;&lt;dates&gt;&lt;year&gt;2014&lt;/year&gt;&lt;/dates&gt;&lt;rec-number&gt;62&lt;/rec-number&gt;&lt;last-updated-date format="utc"&gt;1603453281&lt;/last-updated-date&gt;&lt;/record&gt;&lt;/Cite&gt;&lt;/EndNote&gt;</w:instrText>
            </w:r>
            <w:r w:rsidRPr="00A20A17">
              <w:rPr>
                <w:rFonts w:ascii="Calibri" w:eastAsia="Calibri" w:hAnsi="Calibri" w:cs="Calibri"/>
                <w:sz w:val="18"/>
                <w:szCs w:val="18"/>
              </w:rPr>
              <w:fldChar w:fldCharType="separate"/>
            </w:r>
            <w:r w:rsidRPr="00A20A17">
              <w:rPr>
                <w:rFonts w:ascii="Calibri" w:eastAsia="Calibri" w:hAnsi="Calibri" w:cs="Calibri"/>
                <w:noProof/>
                <w:sz w:val="18"/>
                <w:szCs w:val="18"/>
                <w:vertAlign w:val="superscript"/>
              </w:rPr>
              <w:t>12</w:t>
            </w:r>
            <w:r w:rsidRPr="00A20A17">
              <w:rPr>
                <w:rFonts w:ascii="Calibri" w:eastAsia="Calibri" w:hAnsi="Calibri" w:cs="Calibri"/>
                <w:sz w:val="18"/>
                <w:szCs w:val="18"/>
              </w:rPr>
              <w:fldChar w:fldCharType="end"/>
            </w:r>
            <w:r w:rsidRPr="00A20A17">
              <w:rPr>
                <w:rFonts w:ascii="Calibri" w:eastAsia="Calibri" w:hAnsi="Calibri" w:cs="Calibri"/>
                <w:sz w:val="18"/>
                <w:szCs w:val="18"/>
              </w:rPr>
              <w:t xml:space="preserve">, updated to 2019 prices </w:t>
            </w:r>
            <w:r w:rsidRPr="00A20A17">
              <w:rPr>
                <w:rFonts w:ascii="Calibri" w:eastAsia="Calibri" w:hAnsi="Calibri" w:cs="Calibri"/>
                <w:sz w:val="18"/>
                <w:szCs w:val="18"/>
              </w:rPr>
              <w:fldChar w:fldCharType="begin"/>
            </w:r>
            <w:r w:rsidRPr="00A20A17">
              <w:rPr>
                <w:rFonts w:ascii="Calibri" w:eastAsia="Calibri" w:hAnsi="Calibri" w:cs="Calibri"/>
                <w:sz w:val="18"/>
                <w:szCs w:val="18"/>
              </w:rPr>
              <w:instrText xml:space="preserve"> ADDIN EN.CITE &lt;EndNote&gt;&lt;Cite&gt;&lt;Author&gt;Curtis&lt;/Author&gt;&lt;Year&gt;2019&lt;/Year&gt;&lt;IDText&gt;Unit Costs of Health and Social Care 2019&lt;/IDText&gt;&lt;DisplayText&gt;&lt;style face="superscript"&gt;20,21&lt;/style&gt;&lt;/DisplayText&gt;&lt;record&gt;&lt;titles&gt;&lt;title&gt;Unit Costs of Health and Social Care 2019&lt;/title&gt;&lt;/titles&gt;&lt;contributors&gt;&lt;authors&gt;&lt;author&gt;Curtis, L.&lt;/author&gt;&lt;author&gt;Burns, A.&lt;/author&gt;&lt;/authors&gt;&lt;/contributors&gt;&lt;added-date format="utc"&gt;1621866811&lt;/added-date&gt;&lt;pub-location&gt;Canterbury&lt;/pub-location&gt;&lt;ref-type name="Book"&gt;6&lt;/ref-type&gt;&lt;dates&gt;&lt;year&gt;2019&lt;/year&gt;&lt;/dates&gt;&lt;rec-number&gt;6&lt;/rec-number&gt;&lt;publisher&gt;Personal Social Services Research Unit, University of Kent&lt;/publisher&gt;&lt;last-updated-date format="utc"&gt;1621866862&lt;/last-updated-date&gt;&lt;electronic-resource-num&gt;  10.22024/UniKent/01.02.79286&lt;/electronic-resource-num&gt;&lt;/record&gt;&lt;/Cite&gt;&lt;Cite&gt;&lt;Author&gt;NHS England and NHS Improvement&lt;/Author&gt;&lt;Year&gt;2020&lt;/Year&gt;&lt;IDText&gt;National schedule of NHS costs 2019&lt;/IDText&gt;&lt;record&gt;&lt;urls&gt;&lt;related-urls&gt;&lt;url&gt;https://www.england.nhs.uk/wp-content/uploads/2020/08/2_-_National_schedule_of_NHS_costs_V2.xlsx&lt;/url&gt;&lt;/related-urls&gt;&lt;/urls&gt;&lt;titles&gt;&lt;title&gt;National schedule of NHS costs 2019&lt;/title&gt;&lt;/titles&gt;&lt;access-date&gt;24/05/2021&lt;/access-date&gt;&lt;contributors&gt;&lt;authors&gt;&lt;author&gt;NHS England and NHS Improvement,&lt;/author&gt;&lt;/authors&gt;&lt;/contributors&gt;&lt;added-date format="utc"&gt;1621867475&lt;/added-date&gt;&lt;ref-type name="Dataset"&gt;59&lt;/ref-type&gt;&lt;dates&gt;&lt;year&gt;2020&lt;/year&gt;&lt;/dates&gt;&lt;rec-number&gt;194&lt;/rec-number&gt;&lt;last-updated-date format="utc"&gt;1621867475&lt;/last-updated-date&gt;&lt;/record&gt;&lt;/Cite&gt;&lt;/EndNote&gt;</w:instrText>
            </w:r>
            <w:r w:rsidRPr="00A20A17">
              <w:rPr>
                <w:rFonts w:ascii="Calibri" w:eastAsia="Calibri" w:hAnsi="Calibri" w:cs="Calibri"/>
                <w:sz w:val="18"/>
                <w:szCs w:val="18"/>
              </w:rPr>
              <w:fldChar w:fldCharType="separate"/>
            </w:r>
            <w:r w:rsidRPr="00A20A17">
              <w:rPr>
                <w:rFonts w:ascii="Calibri" w:eastAsia="Calibri" w:hAnsi="Calibri" w:cs="Calibri"/>
                <w:noProof/>
                <w:sz w:val="18"/>
                <w:szCs w:val="18"/>
                <w:vertAlign w:val="superscript"/>
              </w:rPr>
              <w:t>20,21</w:t>
            </w:r>
            <w:r w:rsidRPr="00A20A17">
              <w:rPr>
                <w:rFonts w:ascii="Calibri" w:eastAsia="Calibri" w:hAnsi="Calibri" w:cs="Calibri"/>
                <w:sz w:val="18"/>
                <w:szCs w:val="18"/>
              </w:rPr>
              <w:fldChar w:fldCharType="end"/>
            </w:r>
          </w:p>
        </w:tc>
      </w:tr>
      <w:tr w:rsidR="00FE37DB" w:rsidRPr="00A20A17" w14:paraId="44A4F82C" w14:textId="77777777" w:rsidTr="00A80B48">
        <w:trPr>
          <w:trHeight w:val="300"/>
        </w:trPr>
        <w:tc>
          <w:tcPr>
            <w:tcW w:w="0" w:type="auto"/>
            <w:noWrap/>
          </w:tcPr>
          <w:p w14:paraId="11DDFE20"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Appointment with nurse</w:t>
            </w:r>
          </w:p>
        </w:tc>
        <w:tc>
          <w:tcPr>
            <w:tcW w:w="0" w:type="auto"/>
            <w:vAlign w:val="bottom"/>
          </w:tcPr>
          <w:p w14:paraId="0C6ABB97"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£14</w:t>
            </w:r>
          </w:p>
        </w:tc>
        <w:tc>
          <w:tcPr>
            <w:tcW w:w="0" w:type="auto"/>
            <w:vAlign w:val="bottom"/>
          </w:tcPr>
          <w:p w14:paraId="75AB388A"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 xml:space="preserve">PSSRU unit cost book </w:t>
            </w:r>
            <w:r w:rsidRPr="00A20A17">
              <w:rPr>
                <w:rFonts w:ascii="Calibri" w:eastAsia="Calibri" w:hAnsi="Calibri" w:cs="Calibri"/>
                <w:sz w:val="18"/>
                <w:szCs w:val="18"/>
              </w:rPr>
              <w:fldChar w:fldCharType="begin"/>
            </w:r>
            <w:r w:rsidRPr="00A20A17">
              <w:rPr>
                <w:rFonts w:ascii="Calibri" w:eastAsia="Calibri" w:hAnsi="Calibri" w:cs="Calibri"/>
                <w:sz w:val="18"/>
                <w:szCs w:val="18"/>
              </w:rPr>
              <w:instrText xml:space="preserve"> ADDIN EN.CITE &lt;EndNote&gt;&lt;Cite&gt;&lt;Author&gt;Curtis&lt;/Author&gt;&lt;Year&gt;2019&lt;/Year&gt;&lt;IDText&gt;Unit Costs of Health and Social Care 2019&lt;/IDText&gt;&lt;DisplayText&gt;&lt;style face="superscript"&gt;20&lt;/style&gt;&lt;/DisplayText&gt;&lt;record&gt;&lt;titles&gt;&lt;title&gt;Unit Costs of Health and Social Care 2019&lt;/title&gt;&lt;/titles&gt;&lt;contributors&gt;&lt;authors&gt;&lt;author&gt;Curtis, L.&lt;/author&gt;&lt;author&gt;Burns, A.&lt;/author&gt;&lt;/authors&gt;&lt;/contributors&gt;&lt;added-date format="utc"&gt;1621867475&lt;/added-date&gt;&lt;pub-location&gt;Canterbury&lt;/pub-location&gt;&lt;ref-type name="Book"&gt;6&lt;/ref-type&gt;&lt;dates&gt;&lt;year&gt;2019&lt;/year&gt;&lt;/dates&gt;&lt;rec-number&gt;192&lt;/rec-number&gt;&lt;publisher&gt;Personal Social Services Research Unit, University of Kent&lt;/publisher&gt;&lt;last-updated-date format="utc"&gt;1621867475&lt;/last-updated-date&gt;&lt;electronic-resource-num&gt;10.22024/UniKent/01.02.79286&lt;/electronic-resource-num&gt;&lt;/record&gt;&lt;/Cite&gt;&lt;/EndNote&gt;</w:instrText>
            </w:r>
            <w:r w:rsidRPr="00A20A17">
              <w:rPr>
                <w:rFonts w:ascii="Calibri" w:eastAsia="Calibri" w:hAnsi="Calibri" w:cs="Calibri"/>
                <w:sz w:val="18"/>
                <w:szCs w:val="18"/>
              </w:rPr>
              <w:fldChar w:fldCharType="separate"/>
            </w:r>
            <w:r w:rsidRPr="00A20A17">
              <w:rPr>
                <w:rFonts w:ascii="Calibri" w:eastAsia="Calibri" w:hAnsi="Calibri" w:cs="Calibri"/>
                <w:noProof/>
                <w:sz w:val="18"/>
                <w:szCs w:val="18"/>
                <w:vertAlign w:val="superscript"/>
              </w:rPr>
              <w:t>20</w:t>
            </w:r>
            <w:r w:rsidRPr="00A20A17">
              <w:rPr>
                <w:rFonts w:ascii="Calibri" w:eastAsia="Calibri" w:hAnsi="Calibri" w:cs="Calibri"/>
                <w:sz w:val="18"/>
                <w:szCs w:val="18"/>
              </w:rPr>
              <w:fldChar w:fldCharType="end"/>
            </w:r>
            <w:r w:rsidRPr="00A20A17">
              <w:rPr>
                <w:rFonts w:ascii="Calibri" w:eastAsia="Calibri" w:hAnsi="Calibri" w:cs="Calibri"/>
                <w:sz w:val="18"/>
                <w:szCs w:val="18"/>
              </w:rPr>
              <w:t xml:space="preserve"> band 6 staff, page 125, £84 per individual-related work; 10-minute appointment</w:t>
            </w:r>
          </w:p>
        </w:tc>
      </w:tr>
    </w:tbl>
    <w:p w14:paraId="07D19B83" w14:textId="77777777" w:rsidR="00FE37DB" w:rsidRPr="00A20A17" w:rsidRDefault="00FE37DB" w:rsidP="00FE37DB">
      <w:pPr>
        <w:spacing w:before="120" w:after="120"/>
        <w:rPr>
          <w:rFonts w:ascii="Calibri" w:eastAsia="Calibri" w:hAnsi="Calibri" w:cs="Arial"/>
        </w:rPr>
      </w:pPr>
    </w:p>
    <w:p w14:paraId="0F4796CE" w14:textId="77777777" w:rsidR="00FE37DB" w:rsidRPr="00A20A17" w:rsidRDefault="00FE37DB" w:rsidP="00FE37DB">
      <w:pPr>
        <w:keepNext/>
        <w:spacing w:before="120"/>
        <w:rPr>
          <w:rFonts w:ascii="Calibri" w:eastAsia="Calibri" w:hAnsi="Calibri" w:cs="Arial"/>
          <w:i/>
          <w:iCs/>
          <w:color w:val="44546A"/>
          <w:sz w:val="18"/>
          <w:szCs w:val="18"/>
        </w:rPr>
      </w:pPr>
      <w:r w:rsidRPr="00A20A17">
        <w:rPr>
          <w:rFonts w:ascii="Calibri" w:eastAsia="Calibri" w:hAnsi="Calibri" w:cs="Arial"/>
          <w:i/>
          <w:iCs/>
          <w:color w:val="44546A"/>
          <w:sz w:val="18"/>
          <w:szCs w:val="18"/>
        </w:rPr>
        <w:t xml:space="preserve">Table </w:t>
      </w:r>
      <w:r w:rsidRPr="00A20A17">
        <w:rPr>
          <w:rFonts w:ascii="Calibri" w:eastAsia="Calibri" w:hAnsi="Calibri" w:cs="Arial"/>
          <w:i/>
          <w:iCs/>
          <w:color w:val="44546A"/>
          <w:sz w:val="18"/>
          <w:szCs w:val="18"/>
        </w:rPr>
        <w:fldChar w:fldCharType="begin"/>
      </w:r>
      <w:r w:rsidRPr="00A20A17">
        <w:rPr>
          <w:rFonts w:ascii="Calibri" w:eastAsia="Calibri" w:hAnsi="Calibri" w:cs="Arial"/>
          <w:i/>
          <w:iCs/>
          <w:color w:val="44546A"/>
          <w:sz w:val="18"/>
          <w:szCs w:val="18"/>
        </w:rPr>
        <w:instrText>SEQ Table \* ARABIC</w:instrText>
      </w:r>
      <w:r w:rsidRPr="00A20A17">
        <w:rPr>
          <w:rFonts w:ascii="Calibri" w:eastAsia="Calibri" w:hAnsi="Calibri" w:cs="Arial"/>
          <w:i/>
          <w:iCs/>
          <w:color w:val="44546A"/>
          <w:sz w:val="18"/>
          <w:szCs w:val="18"/>
        </w:rPr>
        <w:fldChar w:fldCharType="separate"/>
      </w:r>
      <w:r w:rsidRPr="00A20A17">
        <w:rPr>
          <w:rFonts w:ascii="Calibri" w:eastAsia="Calibri" w:hAnsi="Calibri" w:cs="Arial"/>
          <w:i/>
          <w:iCs/>
          <w:noProof/>
          <w:color w:val="44546A"/>
          <w:sz w:val="18"/>
          <w:szCs w:val="18"/>
        </w:rPr>
        <w:t>15</w:t>
      </w:r>
      <w:r w:rsidRPr="00A20A17">
        <w:rPr>
          <w:rFonts w:ascii="Calibri" w:eastAsia="Calibri" w:hAnsi="Calibri" w:cs="Arial"/>
          <w:i/>
          <w:iCs/>
          <w:color w:val="44546A"/>
          <w:sz w:val="18"/>
          <w:szCs w:val="18"/>
        </w:rPr>
        <w:fldChar w:fldCharType="end"/>
      </w:r>
      <w:r w:rsidRPr="00A20A17">
        <w:rPr>
          <w:rFonts w:ascii="Calibri" w:eastAsia="Calibri" w:hAnsi="Calibri" w:cs="Arial"/>
          <w:i/>
          <w:iCs/>
          <w:color w:val="44546A"/>
          <w:sz w:val="18"/>
          <w:szCs w:val="18"/>
        </w:rPr>
        <w:t>: Calculations of the cost of health states</w:t>
      </w:r>
    </w:p>
    <w:tbl>
      <w:tblPr>
        <w:tblStyle w:val="TableGrid2"/>
        <w:tblW w:w="0" w:type="auto"/>
        <w:tblLook w:val="04A0" w:firstRow="1" w:lastRow="0" w:firstColumn="1" w:lastColumn="0" w:noHBand="0" w:noVBand="1"/>
      </w:tblPr>
      <w:tblGrid>
        <w:gridCol w:w="3125"/>
        <w:gridCol w:w="1667"/>
        <w:gridCol w:w="1537"/>
        <w:gridCol w:w="1885"/>
      </w:tblGrid>
      <w:tr w:rsidR="00FE37DB" w:rsidRPr="00A20A17" w14:paraId="6505124D" w14:textId="77777777" w:rsidTr="00A80B48">
        <w:trPr>
          <w:trHeight w:val="300"/>
        </w:trPr>
        <w:tc>
          <w:tcPr>
            <w:tcW w:w="0" w:type="auto"/>
            <w:noWrap/>
          </w:tcPr>
          <w:p w14:paraId="487128BD"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Item</w:t>
            </w:r>
          </w:p>
        </w:tc>
        <w:tc>
          <w:tcPr>
            <w:tcW w:w="0" w:type="auto"/>
          </w:tcPr>
          <w:p w14:paraId="3834B493"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 xml:space="preserve">Original cost </w:t>
            </w:r>
          </w:p>
        </w:tc>
        <w:tc>
          <w:tcPr>
            <w:tcW w:w="0" w:type="auto"/>
          </w:tcPr>
          <w:p w14:paraId="5900440B"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Cost per year</w:t>
            </w:r>
          </w:p>
        </w:tc>
        <w:tc>
          <w:tcPr>
            <w:tcW w:w="0" w:type="auto"/>
          </w:tcPr>
          <w:p w14:paraId="7A3F2F43"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Inflated to 2019</w:t>
            </w:r>
          </w:p>
        </w:tc>
      </w:tr>
      <w:tr w:rsidR="00FE37DB" w:rsidRPr="00A20A17" w14:paraId="121E3249" w14:textId="77777777" w:rsidTr="00A80B48">
        <w:trPr>
          <w:trHeight w:val="300"/>
        </w:trPr>
        <w:tc>
          <w:tcPr>
            <w:tcW w:w="0" w:type="auto"/>
            <w:gridSpan w:val="4"/>
            <w:shd w:val="clear" w:color="auto" w:fill="E7E6E6"/>
            <w:noWrap/>
          </w:tcPr>
          <w:p w14:paraId="0E9C02A5"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Non-fatal myocardial infarction (assumed equivalent to non-fatal acute coronary syndrome)</w:t>
            </w:r>
          </w:p>
        </w:tc>
      </w:tr>
      <w:tr w:rsidR="00FE37DB" w:rsidRPr="00A20A17" w14:paraId="3FDEEC7F" w14:textId="77777777" w:rsidTr="00A80B48">
        <w:trPr>
          <w:trHeight w:val="300"/>
        </w:trPr>
        <w:tc>
          <w:tcPr>
            <w:tcW w:w="0" w:type="auto"/>
            <w:noWrap/>
            <w:vAlign w:val="bottom"/>
          </w:tcPr>
          <w:p w14:paraId="2B7BD2CB"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color w:val="000000"/>
                <w:sz w:val="18"/>
                <w:szCs w:val="18"/>
              </w:rPr>
              <w:t>first 90-day period</w:t>
            </w:r>
          </w:p>
        </w:tc>
        <w:tc>
          <w:tcPr>
            <w:tcW w:w="0" w:type="auto"/>
            <w:vAlign w:val="bottom"/>
          </w:tcPr>
          <w:p w14:paraId="48527908"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color w:val="000000"/>
                <w:sz w:val="18"/>
                <w:szCs w:val="18"/>
              </w:rPr>
              <w:t>4854</w:t>
            </w:r>
          </w:p>
        </w:tc>
        <w:tc>
          <w:tcPr>
            <w:tcW w:w="0" w:type="auto"/>
            <w:vMerge w:val="restart"/>
          </w:tcPr>
          <w:p w14:paraId="1EFA0618" w14:textId="77777777" w:rsidR="00FE37DB" w:rsidRPr="00A20A17" w:rsidRDefault="00FE37DB" w:rsidP="00A80B48">
            <w:pPr>
              <w:spacing w:before="60" w:after="60" w:line="240" w:lineRule="auto"/>
              <w:jc w:val="right"/>
              <w:rPr>
                <w:rFonts w:ascii="Calibri" w:eastAsia="Calibri" w:hAnsi="Calibri" w:cs="Calibri"/>
                <w:color w:val="000000"/>
                <w:sz w:val="18"/>
                <w:szCs w:val="18"/>
              </w:rPr>
            </w:pPr>
            <w:r w:rsidRPr="00A20A17">
              <w:rPr>
                <w:rFonts w:ascii="Calibri" w:eastAsia="Calibri" w:hAnsi="Calibri" w:cs="Calibri"/>
                <w:color w:val="000000"/>
                <w:sz w:val="18"/>
                <w:szCs w:val="18"/>
              </w:rPr>
              <w:t xml:space="preserve">7378 [1] </w:t>
            </w:r>
          </w:p>
        </w:tc>
        <w:tc>
          <w:tcPr>
            <w:tcW w:w="0" w:type="auto"/>
            <w:vMerge w:val="restart"/>
          </w:tcPr>
          <w:p w14:paraId="78C8868E" w14:textId="77777777" w:rsidR="00FE37DB" w:rsidRPr="00A20A17" w:rsidRDefault="00FE37DB" w:rsidP="00A80B48">
            <w:pPr>
              <w:spacing w:before="60" w:after="60" w:line="240" w:lineRule="auto"/>
              <w:jc w:val="right"/>
              <w:rPr>
                <w:rFonts w:ascii="Calibri" w:eastAsia="Calibri" w:hAnsi="Calibri" w:cs="Calibri"/>
                <w:color w:val="000000"/>
                <w:sz w:val="18"/>
                <w:szCs w:val="18"/>
              </w:rPr>
            </w:pPr>
            <w:r w:rsidRPr="00A20A17">
              <w:rPr>
                <w:rFonts w:ascii="Calibri" w:eastAsia="Calibri" w:hAnsi="Calibri" w:cs="Calibri"/>
                <w:color w:val="000000"/>
                <w:sz w:val="18"/>
                <w:szCs w:val="18"/>
              </w:rPr>
              <w:t>8195</w:t>
            </w:r>
          </w:p>
        </w:tc>
      </w:tr>
      <w:tr w:rsidR="00FE37DB" w:rsidRPr="00A20A17" w14:paraId="09AA537D" w14:textId="77777777" w:rsidTr="00A80B48">
        <w:trPr>
          <w:trHeight w:val="300"/>
        </w:trPr>
        <w:tc>
          <w:tcPr>
            <w:tcW w:w="0" w:type="auto"/>
            <w:noWrap/>
            <w:vAlign w:val="bottom"/>
          </w:tcPr>
          <w:p w14:paraId="6623A82A"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color w:val="000000"/>
                <w:sz w:val="18"/>
                <w:szCs w:val="18"/>
              </w:rPr>
              <w:t>second 90-day period</w:t>
            </w:r>
          </w:p>
        </w:tc>
        <w:tc>
          <w:tcPr>
            <w:tcW w:w="0" w:type="auto"/>
            <w:vAlign w:val="bottom"/>
          </w:tcPr>
          <w:p w14:paraId="00F73FE8"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color w:val="000000"/>
                <w:sz w:val="18"/>
                <w:szCs w:val="18"/>
              </w:rPr>
              <w:t>1209</w:t>
            </w:r>
          </w:p>
        </w:tc>
        <w:tc>
          <w:tcPr>
            <w:tcW w:w="0" w:type="auto"/>
            <w:vMerge/>
          </w:tcPr>
          <w:p w14:paraId="285B694B" w14:textId="77777777" w:rsidR="00FE37DB" w:rsidRPr="00A20A17" w:rsidRDefault="00FE37DB" w:rsidP="00A80B48">
            <w:pPr>
              <w:spacing w:before="60" w:after="60" w:line="240" w:lineRule="auto"/>
              <w:jc w:val="right"/>
              <w:rPr>
                <w:rFonts w:ascii="Calibri" w:eastAsia="Calibri" w:hAnsi="Calibri" w:cs="Calibri"/>
                <w:color w:val="000000"/>
                <w:sz w:val="18"/>
                <w:szCs w:val="18"/>
              </w:rPr>
            </w:pPr>
          </w:p>
        </w:tc>
        <w:tc>
          <w:tcPr>
            <w:tcW w:w="0" w:type="auto"/>
            <w:vMerge/>
          </w:tcPr>
          <w:p w14:paraId="55E33D0F" w14:textId="77777777" w:rsidR="00FE37DB" w:rsidRPr="00A20A17" w:rsidRDefault="00FE37DB" w:rsidP="00A80B48">
            <w:pPr>
              <w:spacing w:before="60" w:after="60" w:line="240" w:lineRule="auto"/>
              <w:jc w:val="right"/>
              <w:rPr>
                <w:rFonts w:ascii="Calibri" w:eastAsia="Calibri" w:hAnsi="Calibri" w:cs="Calibri"/>
                <w:color w:val="000000"/>
                <w:sz w:val="18"/>
                <w:szCs w:val="18"/>
              </w:rPr>
            </w:pPr>
          </w:p>
        </w:tc>
      </w:tr>
      <w:tr w:rsidR="00FE37DB" w:rsidRPr="00A20A17" w14:paraId="1BF3123A" w14:textId="77777777" w:rsidTr="00A80B48">
        <w:trPr>
          <w:trHeight w:val="300"/>
        </w:trPr>
        <w:tc>
          <w:tcPr>
            <w:tcW w:w="0" w:type="auto"/>
            <w:noWrap/>
            <w:vAlign w:val="bottom"/>
          </w:tcPr>
          <w:p w14:paraId="665194E9"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color w:val="000000"/>
                <w:sz w:val="18"/>
                <w:szCs w:val="18"/>
              </w:rPr>
              <w:t>third 90-day period</w:t>
            </w:r>
          </w:p>
        </w:tc>
        <w:tc>
          <w:tcPr>
            <w:tcW w:w="0" w:type="auto"/>
            <w:vAlign w:val="bottom"/>
          </w:tcPr>
          <w:p w14:paraId="62CA98D1"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color w:val="000000"/>
                <w:sz w:val="18"/>
                <w:szCs w:val="18"/>
              </w:rPr>
              <w:t>640</w:t>
            </w:r>
          </w:p>
        </w:tc>
        <w:tc>
          <w:tcPr>
            <w:tcW w:w="0" w:type="auto"/>
            <w:vMerge/>
          </w:tcPr>
          <w:p w14:paraId="11557287" w14:textId="77777777" w:rsidR="00FE37DB" w:rsidRPr="00A20A17" w:rsidRDefault="00FE37DB" w:rsidP="00A80B48">
            <w:pPr>
              <w:spacing w:before="60" w:after="60" w:line="240" w:lineRule="auto"/>
              <w:jc w:val="right"/>
              <w:rPr>
                <w:rFonts w:ascii="Calibri" w:eastAsia="Calibri" w:hAnsi="Calibri" w:cs="Calibri"/>
                <w:color w:val="000000"/>
                <w:sz w:val="18"/>
                <w:szCs w:val="18"/>
              </w:rPr>
            </w:pPr>
          </w:p>
        </w:tc>
        <w:tc>
          <w:tcPr>
            <w:tcW w:w="0" w:type="auto"/>
            <w:vMerge/>
          </w:tcPr>
          <w:p w14:paraId="16176E67" w14:textId="77777777" w:rsidR="00FE37DB" w:rsidRPr="00A20A17" w:rsidRDefault="00FE37DB" w:rsidP="00A80B48">
            <w:pPr>
              <w:spacing w:before="60" w:after="60" w:line="240" w:lineRule="auto"/>
              <w:jc w:val="right"/>
              <w:rPr>
                <w:rFonts w:ascii="Calibri" w:eastAsia="Calibri" w:hAnsi="Calibri" w:cs="Calibri"/>
                <w:color w:val="000000"/>
                <w:sz w:val="18"/>
                <w:szCs w:val="18"/>
              </w:rPr>
            </w:pPr>
          </w:p>
        </w:tc>
      </w:tr>
      <w:tr w:rsidR="00FE37DB" w:rsidRPr="00A20A17" w14:paraId="28CDCA35" w14:textId="77777777" w:rsidTr="00A80B48">
        <w:trPr>
          <w:trHeight w:val="300"/>
        </w:trPr>
        <w:tc>
          <w:tcPr>
            <w:tcW w:w="0" w:type="auto"/>
            <w:noWrap/>
            <w:vAlign w:val="bottom"/>
          </w:tcPr>
          <w:p w14:paraId="570F065F"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color w:val="000000"/>
                <w:sz w:val="18"/>
                <w:szCs w:val="18"/>
              </w:rPr>
              <w:t>fourth 90-day period</w:t>
            </w:r>
          </w:p>
        </w:tc>
        <w:tc>
          <w:tcPr>
            <w:tcW w:w="0" w:type="auto"/>
            <w:vAlign w:val="bottom"/>
          </w:tcPr>
          <w:p w14:paraId="76745967"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color w:val="000000"/>
                <w:sz w:val="18"/>
                <w:szCs w:val="18"/>
              </w:rPr>
              <w:t>675</w:t>
            </w:r>
          </w:p>
        </w:tc>
        <w:tc>
          <w:tcPr>
            <w:tcW w:w="0" w:type="auto"/>
            <w:vMerge/>
          </w:tcPr>
          <w:p w14:paraId="6896BE06" w14:textId="77777777" w:rsidR="00FE37DB" w:rsidRPr="00A20A17" w:rsidRDefault="00FE37DB" w:rsidP="00A80B48">
            <w:pPr>
              <w:spacing w:before="60" w:after="60" w:line="240" w:lineRule="auto"/>
              <w:jc w:val="right"/>
              <w:rPr>
                <w:rFonts w:ascii="Calibri" w:eastAsia="Calibri" w:hAnsi="Calibri" w:cs="Calibri"/>
                <w:color w:val="000000"/>
                <w:sz w:val="18"/>
                <w:szCs w:val="18"/>
              </w:rPr>
            </w:pPr>
          </w:p>
        </w:tc>
        <w:tc>
          <w:tcPr>
            <w:tcW w:w="0" w:type="auto"/>
            <w:vMerge/>
          </w:tcPr>
          <w:p w14:paraId="7A04E4E3" w14:textId="77777777" w:rsidR="00FE37DB" w:rsidRPr="00A20A17" w:rsidRDefault="00FE37DB" w:rsidP="00A80B48">
            <w:pPr>
              <w:spacing w:before="60" w:after="60" w:line="240" w:lineRule="auto"/>
              <w:jc w:val="right"/>
              <w:rPr>
                <w:rFonts w:ascii="Calibri" w:eastAsia="Calibri" w:hAnsi="Calibri" w:cs="Calibri"/>
                <w:color w:val="000000"/>
                <w:sz w:val="18"/>
                <w:szCs w:val="18"/>
              </w:rPr>
            </w:pPr>
          </w:p>
        </w:tc>
      </w:tr>
      <w:tr w:rsidR="00FE37DB" w:rsidRPr="00A20A17" w14:paraId="52FB310A" w14:textId="77777777" w:rsidTr="00A80B48">
        <w:trPr>
          <w:trHeight w:val="300"/>
        </w:trPr>
        <w:tc>
          <w:tcPr>
            <w:tcW w:w="0" w:type="auto"/>
            <w:noWrap/>
            <w:vAlign w:val="bottom"/>
          </w:tcPr>
          <w:p w14:paraId="79D322E6"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color w:val="000000"/>
                <w:sz w:val="18"/>
                <w:szCs w:val="18"/>
              </w:rPr>
              <w:t>subsequent periods</w:t>
            </w:r>
          </w:p>
        </w:tc>
        <w:tc>
          <w:tcPr>
            <w:tcW w:w="0" w:type="auto"/>
            <w:vAlign w:val="bottom"/>
          </w:tcPr>
          <w:p w14:paraId="33EED4FB"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color w:val="000000"/>
                <w:sz w:val="18"/>
                <w:szCs w:val="18"/>
              </w:rPr>
              <w:t>481</w:t>
            </w:r>
          </w:p>
        </w:tc>
        <w:tc>
          <w:tcPr>
            <w:tcW w:w="0" w:type="auto"/>
          </w:tcPr>
          <w:p w14:paraId="6C6D6BBC" w14:textId="77777777" w:rsidR="00FE37DB" w:rsidRPr="00A20A17" w:rsidRDefault="00FE37DB" w:rsidP="00A80B48">
            <w:pPr>
              <w:spacing w:before="60" w:after="60" w:line="240" w:lineRule="auto"/>
              <w:jc w:val="right"/>
              <w:rPr>
                <w:rFonts w:ascii="Calibri" w:eastAsia="Calibri" w:hAnsi="Calibri" w:cs="Calibri"/>
                <w:color w:val="000000"/>
                <w:sz w:val="18"/>
                <w:szCs w:val="18"/>
              </w:rPr>
            </w:pPr>
            <w:r w:rsidRPr="00A20A17">
              <w:rPr>
                <w:rFonts w:ascii="Calibri" w:eastAsia="Calibri" w:hAnsi="Calibri" w:cs="Calibri"/>
                <w:color w:val="000000"/>
                <w:sz w:val="18"/>
                <w:szCs w:val="18"/>
              </w:rPr>
              <w:t>1924 [2]</w:t>
            </w:r>
          </w:p>
        </w:tc>
        <w:tc>
          <w:tcPr>
            <w:tcW w:w="0" w:type="auto"/>
          </w:tcPr>
          <w:p w14:paraId="3CCB013C" w14:textId="77777777" w:rsidR="00FE37DB" w:rsidRPr="00A20A17" w:rsidRDefault="00FE37DB" w:rsidP="00A80B48">
            <w:pPr>
              <w:spacing w:before="60" w:after="60" w:line="240" w:lineRule="auto"/>
              <w:jc w:val="right"/>
              <w:rPr>
                <w:rFonts w:ascii="Calibri" w:eastAsia="Calibri" w:hAnsi="Calibri" w:cs="Calibri"/>
                <w:color w:val="000000"/>
                <w:sz w:val="18"/>
                <w:szCs w:val="18"/>
              </w:rPr>
            </w:pPr>
            <w:r w:rsidRPr="00A20A17">
              <w:rPr>
                <w:rFonts w:ascii="Calibri" w:eastAsia="Calibri" w:hAnsi="Calibri" w:cs="Calibri"/>
                <w:color w:val="000000"/>
                <w:sz w:val="18"/>
                <w:szCs w:val="18"/>
              </w:rPr>
              <w:t>2137</w:t>
            </w:r>
          </w:p>
        </w:tc>
      </w:tr>
      <w:tr w:rsidR="00FE37DB" w:rsidRPr="00A20A17" w14:paraId="3A565D1A" w14:textId="77777777" w:rsidTr="00A80B48">
        <w:trPr>
          <w:trHeight w:val="300"/>
        </w:trPr>
        <w:tc>
          <w:tcPr>
            <w:tcW w:w="0" w:type="auto"/>
            <w:gridSpan w:val="4"/>
            <w:shd w:val="clear" w:color="auto" w:fill="E7E6E6"/>
            <w:noWrap/>
            <w:vAlign w:val="bottom"/>
          </w:tcPr>
          <w:p w14:paraId="09952919" w14:textId="77777777" w:rsidR="00FE37DB" w:rsidRPr="00A20A17" w:rsidRDefault="00FE37DB" w:rsidP="00A80B48">
            <w:pPr>
              <w:spacing w:before="60" w:after="60" w:line="240" w:lineRule="auto"/>
              <w:rPr>
                <w:rFonts w:ascii="Calibri" w:eastAsia="Calibri" w:hAnsi="Calibri" w:cs="Calibri"/>
                <w:color w:val="000000"/>
                <w:sz w:val="18"/>
                <w:szCs w:val="18"/>
              </w:rPr>
            </w:pPr>
            <w:r w:rsidRPr="00A20A17">
              <w:rPr>
                <w:rFonts w:ascii="Calibri" w:eastAsia="Calibri" w:hAnsi="Calibri" w:cs="Calibri"/>
                <w:color w:val="000000"/>
                <w:sz w:val="18"/>
                <w:szCs w:val="18"/>
              </w:rPr>
              <w:t>Non-fatal ischaemic stroke (assumed equivalent to non-fatal ischaemic stroke and transient ischaemic attack)</w:t>
            </w:r>
          </w:p>
        </w:tc>
      </w:tr>
      <w:tr w:rsidR="00FE37DB" w:rsidRPr="00A20A17" w14:paraId="07595F79" w14:textId="77777777" w:rsidTr="00A80B48">
        <w:trPr>
          <w:trHeight w:val="300"/>
        </w:trPr>
        <w:tc>
          <w:tcPr>
            <w:tcW w:w="0" w:type="auto"/>
            <w:noWrap/>
            <w:vAlign w:val="bottom"/>
          </w:tcPr>
          <w:p w14:paraId="1E3E910E" w14:textId="77777777" w:rsidR="00FE37DB" w:rsidRPr="00A20A17" w:rsidRDefault="00FE37DB" w:rsidP="00A80B48">
            <w:pPr>
              <w:spacing w:before="60" w:after="60" w:line="240" w:lineRule="auto"/>
              <w:rPr>
                <w:rFonts w:ascii="Calibri" w:eastAsia="Calibri" w:hAnsi="Calibri" w:cs="Calibri"/>
                <w:color w:val="000000"/>
                <w:sz w:val="18"/>
                <w:szCs w:val="18"/>
              </w:rPr>
            </w:pPr>
            <w:r w:rsidRPr="00A20A17">
              <w:rPr>
                <w:rFonts w:ascii="Calibri" w:eastAsia="Calibri" w:hAnsi="Calibri" w:cs="Calibri"/>
                <w:color w:val="000000"/>
                <w:sz w:val="18"/>
                <w:szCs w:val="18"/>
              </w:rPr>
              <w:t>first 90-day period</w:t>
            </w:r>
          </w:p>
        </w:tc>
        <w:tc>
          <w:tcPr>
            <w:tcW w:w="0" w:type="auto"/>
            <w:vAlign w:val="bottom"/>
          </w:tcPr>
          <w:p w14:paraId="614F7B0F" w14:textId="77777777" w:rsidR="00FE37DB" w:rsidRPr="00A20A17" w:rsidRDefault="00FE37DB" w:rsidP="00A80B48">
            <w:pPr>
              <w:spacing w:before="60" w:after="60" w:line="240" w:lineRule="auto"/>
              <w:jc w:val="right"/>
              <w:rPr>
                <w:rFonts w:ascii="Calibri" w:eastAsia="Calibri" w:hAnsi="Calibri" w:cs="Calibri"/>
                <w:color w:val="000000"/>
                <w:sz w:val="18"/>
                <w:szCs w:val="18"/>
              </w:rPr>
            </w:pPr>
            <w:r w:rsidRPr="00A20A17">
              <w:rPr>
                <w:rFonts w:ascii="Calibri" w:eastAsia="Calibri" w:hAnsi="Calibri" w:cs="Calibri"/>
                <w:color w:val="000000"/>
                <w:sz w:val="18"/>
                <w:szCs w:val="18"/>
              </w:rPr>
              <w:t>5957</w:t>
            </w:r>
          </w:p>
        </w:tc>
        <w:tc>
          <w:tcPr>
            <w:tcW w:w="0" w:type="auto"/>
            <w:vMerge w:val="restart"/>
          </w:tcPr>
          <w:p w14:paraId="4130D866" w14:textId="77777777" w:rsidR="00FE37DB" w:rsidRPr="00A20A17" w:rsidRDefault="00FE37DB" w:rsidP="00A80B48">
            <w:pPr>
              <w:spacing w:before="60" w:after="60" w:line="240" w:lineRule="auto"/>
              <w:jc w:val="right"/>
              <w:rPr>
                <w:rFonts w:ascii="Calibri" w:eastAsia="Calibri" w:hAnsi="Calibri" w:cs="Calibri"/>
                <w:color w:val="000000"/>
                <w:sz w:val="18"/>
                <w:szCs w:val="18"/>
              </w:rPr>
            </w:pPr>
            <w:r w:rsidRPr="00A20A17">
              <w:rPr>
                <w:rFonts w:ascii="Calibri" w:eastAsia="Calibri" w:hAnsi="Calibri" w:cs="Calibri"/>
                <w:color w:val="000000"/>
                <w:sz w:val="18"/>
                <w:szCs w:val="18"/>
              </w:rPr>
              <w:t>8322 [1]</w:t>
            </w:r>
          </w:p>
        </w:tc>
        <w:tc>
          <w:tcPr>
            <w:tcW w:w="0" w:type="auto"/>
            <w:vMerge w:val="restart"/>
          </w:tcPr>
          <w:p w14:paraId="09EA94C1" w14:textId="77777777" w:rsidR="00FE37DB" w:rsidRPr="00A20A17" w:rsidRDefault="00FE37DB" w:rsidP="00A80B48">
            <w:pPr>
              <w:spacing w:before="60" w:after="60" w:line="240" w:lineRule="auto"/>
              <w:jc w:val="right"/>
              <w:rPr>
                <w:rFonts w:ascii="Calibri" w:eastAsia="Calibri" w:hAnsi="Calibri" w:cs="Calibri"/>
                <w:color w:val="000000"/>
                <w:sz w:val="18"/>
                <w:szCs w:val="18"/>
              </w:rPr>
            </w:pPr>
            <w:r w:rsidRPr="00A20A17">
              <w:rPr>
                <w:rFonts w:ascii="Calibri" w:eastAsia="Calibri" w:hAnsi="Calibri" w:cs="Calibri"/>
                <w:color w:val="000000"/>
                <w:sz w:val="18"/>
                <w:szCs w:val="18"/>
              </w:rPr>
              <w:t>9244</w:t>
            </w:r>
          </w:p>
        </w:tc>
      </w:tr>
      <w:tr w:rsidR="00FE37DB" w:rsidRPr="00A20A17" w14:paraId="49E9ABF1" w14:textId="77777777" w:rsidTr="00A80B48">
        <w:trPr>
          <w:trHeight w:val="300"/>
        </w:trPr>
        <w:tc>
          <w:tcPr>
            <w:tcW w:w="0" w:type="auto"/>
            <w:noWrap/>
            <w:vAlign w:val="bottom"/>
          </w:tcPr>
          <w:p w14:paraId="0AB050A5" w14:textId="77777777" w:rsidR="00FE37DB" w:rsidRPr="00A20A17" w:rsidRDefault="00FE37DB" w:rsidP="00A80B48">
            <w:pPr>
              <w:spacing w:before="60" w:after="60" w:line="240" w:lineRule="auto"/>
              <w:rPr>
                <w:rFonts w:ascii="Calibri" w:eastAsia="Calibri" w:hAnsi="Calibri" w:cs="Calibri"/>
                <w:color w:val="000000"/>
                <w:sz w:val="18"/>
                <w:szCs w:val="18"/>
              </w:rPr>
            </w:pPr>
            <w:r w:rsidRPr="00A20A17">
              <w:rPr>
                <w:rFonts w:ascii="Calibri" w:eastAsia="Calibri" w:hAnsi="Calibri" w:cs="Calibri"/>
                <w:color w:val="000000"/>
                <w:sz w:val="18"/>
                <w:szCs w:val="18"/>
              </w:rPr>
              <w:t>second 90-day period</w:t>
            </w:r>
          </w:p>
        </w:tc>
        <w:tc>
          <w:tcPr>
            <w:tcW w:w="0" w:type="auto"/>
            <w:vAlign w:val="bottom"/>
          </w:tcPr>
          <w:p w14:paraId="29127973" w14:textId="77777777" w:rsidR="00FE37DB" w:rsidRPr="00A20A17" w:rsidRDefault="00FE37DB" w:rsidP="00A80B48">
            <w:pPr>
              <w:spacing w:before="60" w:after="60" w:line="240" w:lineRule="auto"/>
              <w:jc w:val="right"/>
              <w:rPr>
                <w:rFonts w:ascii="Calibri" w:eastAsia="Calibri" w:hAnsi="Calibri" w:cs="Calibri"/>
                <w:color w:val="000000"/>
                <w:sz w:val="18"/>
                <w:szCs w:val="18"/>
              </w:rPr>
            </w:pPr>
            <w:r w:rsidRPr="00A20A17">
              <w:rPr>
                <w:rFonts w:ascii="Calibri" w:eastAsia="Calibri" w:hAnsi="Calibri" w:cs="Calibri"/>
                <w:color w:val="000000"/>
                <w:sz w:val="18"/>
                <w:szCs w:val="18"/>
              </w:rPr>
              <w:t>1151</w:t>
            </w:r>
          </w:p>
        </w:tc>
        <w:tc>
          <w:tcPr>
            <w:tcW w:w="0" w:type="auto"/>
            <w:vMerge/>
          </w:tcPr>
          <w:p w14:paraId="44C9EA66" w14:textId="77777777" w:rsidR="00FE37DB" w:rsidRPr="00A20A17" w:rsidRDefault="00FE37DB" w:rsidP="00A80B48">
            <w:pPr>
              <w:spacing w:before="60" w:after="60" w:line="240" w:lineRule="auto"/>
              <w:jc w:val="right"/>
              <w:rPr>
                <w:rFonts w:ascii="Calibri" w:eastAsia="Calibri" w:hAnsi="Calibri" w:cs="Calibri"/>
                <w:color w:val="000000"/>
                <w:sz w:val="18"/>
                <w:szCs w:val="18"/>
              </w:rPr>
            </w:pPr>
          </w:p>
        </w:tc>
        <w:tc>
          <w:tcPr>
            <w:tcW w:w="0" w:type="auto"/>
            <w:vMerge/>
          </w:tcPr>
          <w:p w14:paraId="113218AF" w14:textId="77777777" w:rsidR="00FE37DB" w:rsidRPr="00A20A17" w:rsidRDefault="00FE37DB" w:rsidP="00A80B48">
            <w:pPr>
              <w:spacing w:before="60" w:after="60" w:line="240" w:lineRule="auto"/>
              <w:jc w:val="right"/>
              <w:rPr>
                <w:rFonts w:ascii="Calibri" w:eastAsia="Calibri" w:hAnsi="Calibri" w:cs="Calibri"/>
                <w:color w:val="000000"/>
                <w:sz w:val="18"/>
                <w:szCs w:val="18"/>
              </w:rPr>
            </w:pPr>
          </w:p>
        </w:tc>
      </w:tr>
      <w:tr w:rsidR="00FE37DB" w:rsidRPr="00A20A17" w14:paraId="6075596E" w14:textId="77777777" w:rsidTr="00A80B48">
        <w:trPr>
          <w:trHeight w:val="300"/>
        </w:trPr>
        <w:tc>
          <w:tcPr>
            <w:tcW w:w="0" w:type="auto"/>
            <w:noWrap/>
            <w:vAlign w:val="bottom"/>
          </w:tcPr>
          <w:p w14:paraId="24762980" w14:textId="77777777" w:rsidR="00FE37DB" w:rsidRPr="00A20A17" w:rsidRDefault="00FE37DB" w:rsidP="00A80B48">
            <w:pPr>
              <w:spacing w:before="60" w:after="60" w:line="240" w:lineRule="auto"/>
              <w:rPr>
                <w:rFonts w:ascii="Calibri" w:eastAsia="Calibri" w:hAnsi="Calibri" w:cs="Calibri"/>
                <w:color w:val="000000"/>
                <w:sz w:val="18"/>
                <w:szCs w:val="18"/>
              </w:rPr>
            </w:pPr>
            <w:r w:rsidRPr="00A20A17">
              <w:rPr>
                <w:rFonts w:ascii="Calibri" w:eastAsia="Calibri" w:hAnsi="Calibri" w:cs="Calibri"/>
                <w:color w:val="000000"/>
                <w:sz w:val="18"/>
                <w:szCs w:val="18"/>
              </w:rPr>
              <w:t>third 90-day period</w:t>
            </w:r>
          </w:p>
        </w:tc>
        <w:tc>
          <w:tcPr>
            <w:tcW w:w="0" w:type="auto"/>
            <w:vAlign w:val="bottom"/>
          </w:tcPr>
          <w:p w14:paraId="6422CB05" w14:textId="77777777" w:rsidR="00FE37DB" w:rsidRPr="00A20A17" w:rsidRDefault="00FE37DB" w:rsidP="00A80B48">
            <w:pPr>
              <w:spacing w:before="60" w:after="60" w:line="240" w:lineRule="auto"/>
              <w:jc w:val="right"/>
              <w:rPr>
                <w:rFonts w:ascii="Calibri" w:eastAsia="Calibri" w:hAnsi="Calibri" w:cs="Calibri"/>
                <w:color w:val="000000"/>
                <w:sz w:val="18"/>
                <w:szCs w:val="18"/>
              </w:rPr>
            </w:pPr>
            <w:r w:rsidRPr="00A20A17">
              <w:rPr>
                <w:rFonts w:ascii="Calibri" w:eastAsia="Calibri" w:hAnsi="Calibri" w:cs="Calibri"/>
                <w:color w:val="000000"/>
                <w:sz w:val="18"/>
                <w:szCs w:val="18"/>
              </w:rPr>
              <w:t>675</w:t>
            </w:r>
          </w:p>
        </w:tc>
        <w:tc>
          <w:tcPr>
            <w:tcW w:w="0" w:type="auto"/>
            <w:vMerge/>
          </w:tcPr>
          <w:p w14:paraId="25D36F83" w14:textId="77777777" w:rsidR="00FE37DB" w:rsidRPr="00A20A17" w:rsidRDefault="00FE37DB" w:rsidP="00A80B48">
            <w:pPr>
              <w:spacing w:before="60" w:after="60" w:line="240" w:lineRule="auto"/>
              <w:jc w:val="right"/>
              <w:rPr>
                <w:rFonts w:ascii="Calibri" w:eastAsia="Calibri" w:hAnsi="Calibri" w:cs="Calibri"/>
                <w:color w:val="000000"/>
                <w:sz w:val="18"/>
                <w:szCs w:val="18"/>
              </w:rPr>
            </w:pPr>
          </w:p>
        </w:tc>
        <w:tc>
          <w:tcPr>
            <w:tcW w:w="0" w:type="auto"/>
            <w:vMerge/>
          </w:tcPr>
          <w:p w14:paraId="3B69AF42" w14:textId="77777777" w:rsidR="00FE37DB" w:rsidRPr="00A20A17" w:rsidRDefault="00FE37DB" w:rsidP="00A80B48">
            <w:pPr>
              <w:spacing w:before="60" w:after="60" w:line="240" w:lineRule="auto"/>
              <w:jc w:val="right"/>
              <w:rPr>
                <w:rFonts w:ascii="Calibri" w:eastAsia="Calibri" w:hAnsi="Calibri" w:cs="Calibri"/>
                <w:color w:val="000000"/>
                <w:sz w:val="18"/>
                <w:szCs w:val="18"/>
              </w:rPr>
            </w:pPr>
          </w:p>
        </w:tc>
      </w:tr>
      <w:tr w:rsidR="00FE37DB" w:rsidRPr="00A20A17" w14:paraId="564F50BC" w14:textId="77777777" w:rsidTr="00A80B48">
        <w:trPr>
          <w:trHeight w:val="300"/>
        </w:trPr>
        <w:tc>
          <w:tcPr>
            <w:tcW w:w="0" w:type="auto"/>
            <w:noWrap/>
            <w:vAlign w:val="bottom"/>
          </w:tcPr>
          <w:p w14:paraId="10F4C4BA" w14:textId="77777777" w:rsidR="00FE37DB" w:rsidRPr="00A20A17" w:rsidRDefault="00FE37DB" w:rsidP="00A80B48">
            <w:pPr>
              <w:spacing w:before="60" w:after="60" w:line="240" w:lineRule="auto"/>
              <w:rPr>
                <w:rFonts w:ascii="Calibri" w:eastAsia="Calibri" w:hAnsi="Calibri" w:cs="Calibri"/>
                <w:color w:val="000000"/>
                <w:sz w:val="18"/>
                <w:szCs w:val="18"/>
              </w:rPr>
            </w:pPr>
            <w:r w:rsidRPr="00A20A17">
              <w:rPr>
                <w:rFonts w:ascii="Calibri" w:eastAsia="Calibri" w:hAnsi="Calibri" w:cs="Calibri"/>
                <w:color w:val="000000"/>
                <w:sz w:val="18"/>
                <w:szCs w:val="18"/>
              </w:rPr>
              <w:t>fourth 90-day period</w:t>
            </w:r>
          </w:p>
        </w:tc>
        <w:tc>
          <w:tcPr>
            <w:tcW w:w="0" w:type="auto"/>
            <w:vAlign w:val="bottom"/>
          </w:tcPr>
          <w:p w14:paraId="192BDF67" w14:textId="77777777" w:rsidR="00FE37DB" w:rsidRPr="00A20A17" w:rsidRDefault="00FE37DB" w:rsidP="00A80B48">
            <w:pPr>
              <w:spacing w:before="60" w:after="60" w:line="240" w:lineRule="auto"/>
              <w:jc w:val="right"/>
              <w:rPr>
                <w:rFonts w:ascii="Calibri" w:eastAsia="Calibri" w:hAnsi="Calibri" w:cs="Calibri"/>
                <w:color w:val="000000"/>
                <w:sz w:val="18"/>
                <w:szCs w:val="18"/>
              </w:rPr>
            </w:pPr>
            <w:r w:rsidRPr="00A20A17">
              <w:rPr>
                <w:rFonts w:ascii="Calibri" w:eastAsia="Calibri" w:hAnsi="Calibri" w:cs="Calibri"/>
                <w:color w:val="000000"/>
                <w:sz w:val="18"/>
                <w:szCs w:val="18"/>
              </w:rPr>
              <w:t>539</w:t>
            </w:r>
          </w:p>
        </w:tc>
        <w:tc>
          <w:tcPr>
            <w:tcW w:w="0" w:type="auto"/>
            <w:vMerge/>
          </w:tcPr>
          <w:p w14:paraId="43261F00" w14:textId="77777777" w:rsidR="00FE37DB" w:rsidRPr="00A20A17" w:rsidRDefault="00FE37DB" w:rsidP="00A80B48">
            <w:pPr>
              <w:spacing w:before="60" w:after="60" w:line="240" w:lineRule="auto"/>
              <w:jc w:val="right"/>
              <w:rPr>
                <w:rFonts w:ascii="Calibri" w:eastAsia="Calibri" w:hAnsi="Calibri" w:cs="Calibri"/>
                <w:color w:val="000000"/>
                <w:sz w:val="18"/>
                <w:szCs w:val="18"/>
              </w:rPr>
            </w:pPr>
          </w:p>
        </w:tc>
        <w:tc>
          <w:tcPr>
            <w:tcW w:w="0" w:type="auto"/>
            <w:vMerge/>
          </w:tcPr>
          <w:p w14:paraId="28801FC3" w14:textId="77777777" w:rsidR="00FE37DB" w:rsidRPr="00A20A17" w:rsidRDefault="00FE37DB" w:rsidP="00A80B48">
            <w:pPr>
              <w:spacing w:before="60" w:after="60" w:line="240" w:lineRule="auto"/>
              <w:jc w:val="right"/>
              <w:rPr>
                <w:rFonts w:ascii="Calibri" w:eastAsia="Calibri" w:hAnsi="Calibri" w:cs="Calibri"/>
                <w:color w:val="000000"/>
                <w:sz w:val="18"/>
                <w:szCs w:val="18"/>
              </w:rPr>
            </w:pPr>
          </w:p>
        </w:tc>
      </w:tr>
      <w:tr w:rsidR="00FE37DB" w:rsidRPr="00A20A17" w14:paraId="47A0CF57" w14:textId="77777777" w:rsidTr="00A80B48">
        <w:trPr>
          <w:trHeight w:val="300"/>
        </w:trPr>
        <w:tc>
          <w:tcPr>
            <w:tcW w:w="0" w:type="auto"/>
            <w:noWrap/>
            <w:vAlign w:val="bottom"/>
          </w:tcPr>
          <w:p w14:paraId="3BD90E6B" w14:textId="77777777" w:rsidR="00FE37DB" w:rsidRPr="00A20A17" w:rsidRDefault="00FE37DB" w:rsidP="00A80B48">
            <w:pPr>
              <w:spacing w:before="60" w:after="60" w:line="240" w:lineRule="auto"/>
              <w:rPr>
                <w:rFonts w:ascii="Calibri" w:eastAsia="Calibri" w:hAnsi="Calibri" w:cs="Calibri"/>
                <w:color w:val="000000"/>
                <w:sz w:val="18"/>
                <w:szCs w:val="18"/>
              </w:rPr>
            </w:pPr>
            <w:r w:rsidRPr="00A20A17">
              <w:rPr>
                <w:rFonts w:ascii="Calibri" w:eastAsia="Calibri" w:hAnsi="Calibri" w:cs="Calibri"/>
                <w:color w:val="000000"/>
                <w:sz w:val="18"/>
                <w:szCs w:val="18"/>
              </w:rPr>
              <w:t>subsequent periods</w:t>
            </w:r>
          </w:p>
        </w:tc>
        <w:tc>
          <w:tcPr>
            <w:tcW w:w="0" w:type="auto"/>
            <w:vAlign w:val="bottom"/>
          </w:tcPr>
          <w:p w14:paraId="110AFBB6" w14:textId="77777777" w:rsidR="00FE37DB" w:rsidRPr="00A20A17" w:rsidRDefault="00FE37DB" w:rsidP="00A80B48">
            <w:pPr>
              <w:spacing w:before="60" w:after="60" w:line="240" w:lineRule="auto"/>
              <w:jc w:val="right"/>
              <w:rPr>
                <w:rFonts w:ascii="Calibri" w:eastAsia="Calibri" w:hAnsi="Calibri" w:cs="Calibri"/>
                <w:color w:val="000000"/>
                <w:sz w:val="18"/>
                <w:szCs w:val="18"/>
              </w:rPr>
            </w:pPr>
            <w:r w:rsidRPr="00A20A17">
              <w:rPr>
                <w:rFonts w:ascii="Calibri" w:eastAsia="Calibri" w:hAnsi="Calibri" w:cs="Calibri"/>
                <w:color w:val="000000"/>
                <w:sz w:val="18"/>
                <w:szCs w:val="18"/>
              </w:rPr>
              <w:t>448</w:t>
            </w:r>
          </w:p>
        </w:tc>
        <w:tc>
          <w:tcPr>
            <w:tcW w:w="0" w:type="auto"/>
          </w:tcPr>
          <w:p w14:paraId="6D672A9D" w14:textId="77777777" w:rsidR="00FE37DB" w:rsidRPr="00A20A17" w:rsidRDefault="00FE37DB" w:rsidP="00A80B48">
            <w:pPr>
              <w:spacing w:before="60" w:after="60" w:line="240" w:lineRule="auto"/>
              <w:jc w:val="right"/>
              <w:rPr>
                <w:rFonts w:ascii="Calibri" w:eastAsia="Calibri" w:hAnsi="Calibri" w:cs="Calibri"/>
                <w:color w:val="000000"/>
                <w:sz w:val="18"/>
                <w:szCs w:val="18"/>
              </w:rPr>
            </w:pPr>
            <w:r w:rsidRPr="00A20A17">
              <w:rPr>
                <w:rFonts w:ascii="Calibri" w:eastAsia="Calibri" w:hAnsi="Calibri" w:cs="Calibri"/>
                <w:color w:val="000000"/>
                <w:sz w:val="18"/>
                <w:szCs w:val="18"/>
              </w:rPr>
              <w:t>1792 [2]</w:t>
            </w:r>
          </w:p>
        </w:tc>
        <w:tc>
          <w:tcPr>
            <w:tcW w:w="0" w:type="auto"/>
          </w:tcPr>
          <w:p w14:paraId="29DABD67" w14:textId="77777777" w:rsidR="00FE37DB" w:rsidRPr="00A20A17" w:rsidRDefault="00FE37DB" w:rsidP="00A80B48">
            <w:pPr>
              <w:spacing w:before="60" w:after="60" w:line="240" w:lineRule="auto"/>
              <w:jc w:val="right"/>
              <w:rPr>
                <w:rFonts w:ascii="Calibri" w:eastAsia="Calibri" w:hAnsi="Calibri" w:cs="Calibri"/>
                <w:color w:val="000000"/>
                <w:sz w:val="18"/>
                <w:szCs w:val="18"/>
              </w:rPr>
            </w:pPr>
            <w:r w:rsidRPr="00A20A17">
              <w:rPr>
                <w:rFonts w:ascii="Calibri" w:eastAsia="Calibri" w:hAnsi="Calibri" w:cs="Calibri"/>
                <w:color w:val="000000"/>
                <w:sz w:val="18"/>
                <w:szCs w:val="18"/>
              </w:rPr>
              <w:t>1990</w:t>
            </w:r>
          </w:p>
        </w:tc>
      </w:tr>
      <w:tr w:rsidR="00FE37DB" w:rsidRPr="00A20A17" w14:paraId="331EBBA5" w14:textId="77777777" w:rsidTr="00A80B48">
        <w:trPr>
          <w:trHeight w:val="300"/>
        </w:trPr>
        <w:tc>
          <w:tcPr>
            <w:tcW w:w="0" w:type="auto"/>
            <w:gridSpan w:val="4"/>
            <w:shd w:val="clear" w:color="auto" w:fill="E7E6E6"/>
            <w:noWrap/>
            <w:vAlign w:val="bottom"/>
          </w:tcPr>
          <w:p w14:paraId="7F3F1BE9" w14:textId="77777777" w:rsidR="00FE37DB" w:rsidRPr="00A20A17" w:rsidRDefault="00FE37DB" w:rsidP="00A80B48">
            <w:pPr>
              <w:spacing w:before="60" w:after="60" w:line="240" w:lineRule="auto"/>
              <w:rPr>
                <w:rFonts w:ascii="Calibri" w:eastAsia="Calibri" w:hAnsi="Calibri" w:cs="Calibri"/>
                <w:color w:val="000000"/>
                <w:sz w:val="18"/>
                <w:szCs w:val="18"/>
              </w:rPr>
            </w:pPr>
            <w:r w:rsidRPr="00A20A17">
              <w:rPr>
                <w:rFonts w:ascii="Calibri" w:eastAsia="Calibri" w:hAnsi="Calibri" w:cs="Calibri"/>
                <w:color w:val="000000"/>
                <w:sz w:val="18"/>
                <w:szCs w:val="18"/>
              </w:rPr>
              <w:t>Fatal cardiovascular event</w:t>
            </w:r>
          </w:p>
        </w:tc>
      </w:tr>
      <w:tr w:rsidR="00FE37DB" w:rsidRPr="00A20A17" w14:paraId="7BFE7C05" w14:textId="77777777" w:rsidTr="00A80B48">
        <w:trPr>
          <w:trHeight w:val="300"/>
        </w:trPr>
        <w:tc>
          <w:tcPr>
            <w:tcW w:w="0" w:type="auto"/>
            <w:noWrap/>
            <w:vAlign w:val="bottom"/>
          </w:tcPr>
          <w:p w14:paraId="3D11887A" w14:textId="77777777" w:rsidR="00FE37DB" w:rsidRPr="00A20A17" w:rsidRDefault="00FE37DB" w:rsidP="00A80B48">
            <w:pPr>
              <w:spacing w:before="60" w:after="60" w:line="240" w:lineRule="auto"/>
              <w:rPr>
                <w:rFonts w:ascii="Calibri" w:eastAsia="Calibri" w:hAnsi="Calibri" w:cs="Calibri"/>
                <w:color w:val="000000"/>
                <w:sz w:val="18"/>
                <w:szCs w:val="18"/>
              </w:rPr>
            </w:pPr>
            <w:r w:rsidRPr="00A20A17">
              <w:rPr>
                <w:rFonts w:ascii="Calibri" w:eastAsia="Calibri" w:hAnsi="Calibri" w:cs="Calibri"/>
                <w:color w:val="000000"/>
                <w:sz w:val="18"/>
                <w:szCs w:val="18"/>
              </w:rPr>
              <w:t>One-off cost</w:t>
            </w:r>
          </w:p>
        </w:tc>
        <w:tc>
          <w:tcPr>
            <w:tcW w:w="0" w:type="auto"/>
            <w:vAlign w:val="bottom"/>
          </w:tcPr>
          <w:p w14:paraId="64AD7A7F" w14:textId="77777777" w:rsidR="00FE37DB" w:rsidRPr="00A20A17" w:rsidRDefault="00FE37DB" w:rsidP="00A80B48">
            <w:pPr>
              <w:spacing w:before="60" w:after="60" w:line="240" w:lineRule="auto"/>
              <w:jc w:val="right"/>
              <w:rPr>
                <w:rFonts w:ascii="Calibri" w:eastAsia="Calibri" w:hAnsi="Calibri" w:cs="Calibri"/>
                <w:color w:val="000000"/>
                <w:sz w:val="18"/>
                <w:szCs w:val="18"/>
              </w:rPr>
            </w:pPr>
            <w:r w:rsidRPr="00A20A17">
              <w:rPr>
                <w:rFonts w:ascii="Calibri" w:eastAsia="Calibri" w:hAnsi="Calibri" w:cs="Calibri"/>
                <w:color w:val="000000"/>
                <w:sz w:val="18"/>
                <w:szCs w:val="18"/>
              </w:rPr>
              <w:t>2071</w:t>
            </w:r>
          </w:p>
        </w:tc>
        <w:tc>
          <w:tcPr>
            <w:tcW w:w="0" w:type="auto"/>
          </w:tcPr>
          <w:p w14:paraId="6E415398" w14:textId="77777777" w:rsidR="00FE37DB" w:rsidRPr="00A20A17" w:rsidRDefault="00FE37DB" w:rsidP="00A80B48">
            <w:pPr>
              <w:spacing w:before="60" w:after="60" w:line="240" w:lineRule="auto"/>
              <w:jc w:val="right"/>
              <w:rPr>
                <w:rFonts w:ascii="Calibri" w:eastAsia="Calibri" w:hAnsi="Calibri" w:cs="Calibri"/>
                <w:color w:val="000000"/>
                <w:sz w:val="18"/>
                <w:szCs w:val="18"/>
              </w:rPr>
            </w:pPr>
            <w:r w:rsidRPr="00A20A17">
              <w:rPr>
                <w:rFonts w:ascii="Calibri" w:eastAsia="Calibri" w:hAnsi="Calibri" w:cs="Calibri"/>
                <w:color w:val="000000"/>
                <w:sz w:val="18"/>
                <w:szCs w:val="18"/>
              </w:rPr>
              <w:t>N/A</w:t>
            </w:r>
          </w:p>
        </w:tc>
        <w:tc>
          <w:tcPr>
            <w:tcW w:w="0" w:type="auto"/>
          </w:tcPr>
          <w:p w14:paraId="5B30D8EA" w14:textId="77777777" w:rsidR="00FE37DB" w:rsidRPr="00A20A17" w:rsidRDefault="00FE37DB" w:rsidP="00A80B48">
            <w:pPr>
              <w:spacing w:before="60" w:after="60" w:line="240" w:lineRule="auto"/>
              <w:jc w:val="right"/>
              <w:rPr>
                <w:rFonts w:ascii="Calibri" w:eastAsia="Calibri" w:hAnsi="Calibri" w:cs="Calibri"/>
                <w:color w:val="000000"/>
                <w:sz w:val="18"/>
                <w:szCs w:val="18"/>
              </w:rPr>
            </w:pPr>
            <w:r w:rsidRPr="00A20A17">
              <w:rPr>
                <w:rFonts w:ascii="Calibri" w:eastAsia="Calibri" w:hAnsi="Calibri" w:cs="Calibri"/>
                <w:color w:val="000000"/>
                <w:sz w:val="18"/>
                <w:szCs w:val="18"/>
              </w:rPr>
              <w:t>2300</w:t>
            </w:r>
          </w:p>
        </w:tc>
      </w:tr>
      <w:tr w:rsidR="00FE37DB" w:rsidRPr="00A20A17" w14:paraId="38DC59AB" w14:textId="77777777" w:rsidTr="00A80B48">
        <w:trPr>
          <w:trHeight w:val="300"/>
        </w:trPr>
        <w:tc>
          <w:tcPr>
            <w:tcW w:w="0" w:type="auto"/>
            <w:gridSpan w:val="4"/>
            <w:shd w:val="clear" w:color="auto" w:fill="E7E6E6"/>
            <w:noWrap/>
            <w:vAlign w:val="bottom"/>
          </w:tcPr>
          <w:p w14:paraId="6CE8C50C" w14:textId="77777777" w:rsidR="00FE37DB" w:rsidRPr="00A20A17" w:rsidRDefault="00FE37DB" w:rsidP="00A80B48">
            <w:pPr>
              <w:spacing w:before="60" w:after="60" w:line="240" w:lineRule="auto"/>
              <w:rPr>
                <w:rFonts w:ascii="Calibri" w:eastAsia="Calibri" w:hAnsi="Calibri" w:cs="Calibri"/>
                <w:color w:val="000000"/>
                <w:sz w:val="18"/>
                <w:szCs w:val="18"/>
              </w:rPr>
            </w:pPr>
            <w:r w:rsidRPr="00A20A17">
              <w:rPr>
                <w:rFonts w:ascii="Calibri" w:eastAsia="Calibri" w:hAnsi="Calibri" w:cs="Calibri"/>
                <w:color w:val="000000"/>
                <w:sz w:val="18"/>
                <w:szCs w:val="18"/>
              </w:rPr>
              <w:t>Death (not related to cardiovascular event)</w:t>
            </w:r>
          </w:p>
        </w:tc>
      </w:tr>
      <w:tr w:rsidR="00FE37DB" w:rsidRPr="00A20A17" w14:paraId="2C5C6756" w14:textId="77777777" w:rsidTr="00A80B48">
        <w:trPr>
          <w:trHeight w:val="300"/>
        </w:trPr>
        <w:tc>
          <w:tcPr>
            <w:tcW w:w="0" w:type="auto"/>
            <w:noWrap/>
            <w:vAlign w:val="bottom"/>
          </w:tcPr>
          <w:p w14:paraId="7868B5C8" w14:textId="77777777" w:rsidR="00FE37DB" w:rsidRPr="00A20A17" w:rsidRDefault="00FE37DB" w:rsidP="00A80B48">
            <w:pPr>
              <w:spacing w:before="60" w:after="60" w:line="240" w:lineRule="auto"/>
              <w:rPr>
                <w:rFonts w:ascii="Calibri" w:eastAsia="Calibri" w:hAnsi="Calibri" w:cs="Calibri"/>
                <w:color w:val="000000"/>
                <w:sz w:val="18"/>
                <w:szCs w:val="18"/>
              </w:rPr>
            </w:pPr>
            <w:r w:rsidRPr="00A20A17">
              <w:rPr>
                <w:rFonts w:ascii="Calibri" w:eastAsia="Calibri" w:hAnsi="Calibri" w:cs="Calibri"/>
                <w:color w:val="000000"/>
                <w:sz w:val="18"/>
                <w:szCs w:val="18"/>
              </w:rPr>
              <w:t>One-off cost</w:t>
            </w:r>
          </w:p>
        </w:tc>
        <w:tc>
          <w:tcPr>
            <w:tcW w:w="0" w:type="auto"/>
            <w:vAlign w:val="bottom"/>
          </w:tcPr>
          <w:p w14:paraId="6412B07E" w14:textId="77777777" w:rsidR="00FE37DB" w:rsidRPr="00A20A17" w:rsidRDefault="00FE37DB" w:rsidP="00A80B48">
            <w:pPr>
              <w:spacing w:before="60" w:after="60" w:line="240" w:lineRule="auto"/>
              <w:jc w:val="right"/>
              <w:rPr>
                <w:rFonts w:ascii="Calibri" w:eastAsia="Calibri" w:hAnsi="Calibri" w:cs="Calibri"/>
                <w:color w:val="000000"/>
                <w:sz w:val="18"/>
                <w:szCs w:val="18"/>
              </w:rPr>
            </w:pPr>
            <w:r w:rsidRPr="00A20A17">
              <w:rPr>
                <w:rFonts w:ascii="Calibri" w:eastAsia="Calibri" w:hAnsi="Calibri" w:cs="Calibri"/>
                <w:color w:val="000000"/>
                <w:sz w:val="18"/>
                <w:szCs w:val="18"/>
              </w:rPr>
              <w:t>1737</w:t>
            </w:r>
          </w:p>
        </w:tc>
        <w:tc>
          <w:tcPr>
            <w:tcW w:w="0" w:type="auto"/>
          </w:tcPr>
          <w:p w14:paraId="3C09AEE9" w14:textId="77777777" w:rsidR="00FE37DB" w:rsidRPr="00A20A17" w:rsidRDefault="00FE37DB" w:rsidP="00A80B48">
            <w:pPr>
              <w:spacing w:before="60" w:after="60" w:line="240" w:lineRule="auto"/>
              <w:jc w:val="right"/>
              <w:rPr>
                <w:rFonts w:ascii="Calibri" w:eastAsia="Calibri" w:hAnsi="Calibri" w:cs="Calibri"/>
                <w:color w:val="000000"/>
                <w:sz w:val="18"/>
                <w:szCs w:val="18"/>
              </w:rPr>
            </w:pPr>
            <w:r w:rsidRPr="00A20A17">
              <w:rPr>
                <w:rFonts w:ascii="Calibri" w:eastAsia="Calibri" w:hAnsi="Calibri" w:cs="Calibri"/>
                <w:color w:val="000000"/>
                <w:sz w:val="18"/>
                <w:szCs w:val="18"/>
              </w:rPr>
              <w:t>N/A</w:t>
            </w:r>
          </w:p>
        </w:tc>
        <w:tc>
          <w:tcPr>
            <w:tcW w:w="0" w:type="auto"/>
          </w:tcPr>
          <w:p w14:paraId="5A87F204" w14:textId="77777777" w:rsidR="00FE37DB" w:rsidRPr="00A20A17" w:rsidRDefault="00FE37DB" w:rsidP="00A80B48">
            <w:pPr>
              <w:spacing w:before="60" w:after="60" w:line="240" w:lineRule="auto"/>
              <w:jc w:val="right"/>
              <w:rPr>
                <w:rFonts w:ascii="Calibri" w:eastAsia="Calibri" w:hAnsi="Calibri" w:cs="Calibri"/>
                <w:color w:val="000000"/>
                <w:sz w:val="18"/>
                <w:szCs w:val="18"/>
              </w:rPr>
            </w:pPr>
            <w:r w:rsidRPr="00A20A17">
              <w:rPr>
                <w:rFonts w:ascii="Calibri" w:eastAsia="Calibri" w:hAnsi="Calibri" w:cs="Calibri"/>
                <w:color w:val="000000"/>
                <w:sz w:val="18"/>
                <w:szCs w:val="18"/>
              </w:rPr>
              <w:t>1929</w:t>
            </w:r>
          </w:p>
        </w:tc>
      </w:tr>
      <w:tr w:rsidR="00FE37DB" w:rsidRPr="00A20A17" w14:paraId="0B28D6F2" w14:textId="77777777" w:rsidTr="00A80B48">
        <w:trPr>
          <w:trHeight w:val="300"/>
        </w:trPr>
        <w:tc>
          <w:tcPr>
            <w:tcW w:w="0" w:type="auto"/>
            <w:gridSpan w:val="4"/>
            <w:noWrap/>
            <w:vAlign w:val="bottom"/>
          </w:tcPr>
          <w:p w14:paraId="6FF50696" w14:textId="77777777" w:rsidR="00FE37DB" w:rsidRPr="00A20A17" w:rsidRDefault="00FE37DB" w:rsidP="00A80B48">
            <w:pPr>
              <w:spacing w:before="60" w:after="60" w:line="240" w:lineRule="auto"/>
              <w:rPr>
                <w:rFonts w:ascii="Calibri" w:eastAsia="Calibri" w:hAnsi="Calibri" w:cs="Calibri"/>
                <w:color w:val="000000"/>
                <w:sz w:val="18"/>
                <w:szCs w:val="18"/>
              </w:rPr>
            </w:pPr>
            <w:r w:rsidRPr="00A20A17">
              <w:rPr>
                <w:rFonts w:ascii="Calibri" w:eastAsia="Calibri" w:hAnsi="Calibri" w:cs="Calibri"/>
                <w:color w:val="000000"/>
                <w:sz w:val="18"/>
                <w:szCs w:val="18"/>
              </w:rPr>
              <w:t>[1] Cost in the first year calculated as the sum of the costs in the first four 90-day periods.</w:t>
            </w:r>
          </w:p>
          <w:p w14:paraId="260A991C" w14:textId="77777777" w:rsidR="00FE37DB" w:rsidRPr="00A20A17" w:rsidRDefault="00FE37DB" w:rsidP="00A80B48">
            <w:pPr>
              <w:spacing w:before="60" w:after="60" w:line="240" w:lineRule="auto"/>
              <w:rPr>
                <w:rFonts w:ascii="Calibri" w:eastAsia="Calibri" w:hAnsi="Calibri" w:cs="Calibri"/>
                <w:color w:val="000000"/>
                <w:sz w:val="18"/>
                <w:szCs w:val="18"/>
              </w:rPr>
            </w:pPr>
            <w:r w:rsidRPr="00A20A17">
              <w:rPr>
                <w:rFonts w:ascii="Calibri" w:eastAsia="Calibri" w:hAnsi="Calibri" w:cs="Calibri"/>
                <w:color w:val="000000"/>
                <w:sz w:val="18"/>
                <w:szCs w:val="18"/>
              </w:rPr>
              <w:t>[2] Cost in subsequent years calculated as the cost of subsequent (90-day periods) multiplied by 4.</w:t>
            </w:r>
          </w:p>
          <w:p w14:paraId="7FA0A14F" w14:textId="77777777" w:rsidR="00FE37DB" w:rsidRPr="00A20A17" w:rsidRDefault="00FE37DB" w:rsidP="00A80B48">
            <w:pPr>
              <w:spacing w:before="60" w:after="60" w:line="240" w:lineRule="auto"/>
              <w:rPr>
                <w:rFonts w:ascii="Calibri" w:eastAsia="Calibri" w:hAnsi="Calibri" w:cs="Calibri"/>
                <w:color w:val="000000"/>
                <w:sz w:val="18"/>
                <w:szCs w:val="18"/>
              </w:rPr>
            </w:pPr>
            <w:r w:rsidRPr="00A20A17">
              <w:rPr>
                <w:rFonts w:ascii="Calibri" w:eastAsia="Calibri" w:hAnsi="Calibri" w:cs="Calibri"/>
                <w:color w:val="000000"/>
                <w:sz w:val="18"/>
                <w:szCs w:val="18"/>
              </w:rPr>
              <w:t xml:space="preserve">Source of original costs is Walker et al </w:t>
            </w:r>
            <w:r w:rsidRPr="00A20A17">
              <w:rPr>
                <w:rFonts w:ascii="Calibri" w:eastAsia="Calibri" w:hAnsi="Calibri" w:cs="Calibri"/>
                <w:color w:val="000000"/>
                <w:sz w:val="18"/>
                <w:szCs w:val="18"/>
              </w:rPr>
              <w:fldChar w:fldCharType="begin"/>
            </w:r>
            <w:r w:rsidRPr="00A20A17">
              <w:rPr>
                <w:rFonts w:ascii="Calibri" w:eastAsia="Calibri" w:hAnsi="Calibri" w:cs="Calibri"/>
                <w:color w:val="000000"/>
                <w:sz w:val="18"/>
                <w:szCs w:val="18"/>
              </w:rPr>
              <w:instrText xml:space="preserve"> ADDIN EN.CITE &lt;EndNote&gt;&lt;Cite&gt;&lt;Author&gt;Walker&lt;/Author&gt;&lt;Year&gt;2016&lt;/Year&gt;&lt;IDText&gt;Long-term healthcare use and costs in patients with stable coronary artery disease: a population-based cohort using linked health records (CALIBER)&lt;/IDText&gt;&lt;DisplayText&gt;&lt;style face="superscript"&gt;22&lt;/style&gt;&lt;/DisplayText&gt;&lt;record&gt;&lt;dates&gt;&lt;pub-dates&gt;&lt;date&gt;Jan&lt;/date&gt;&lt;/pub-dates&gt;&lt;year&gt;2016&lt;/year&gt;&lt;/dates&gt;&lt;keywords&gt;&lt;keyword&gt;Costs&lt;/keyword&gt;&lt;keyword&gt;Electronic health records&lt;/keyword&gt;&lt;keyword&gt;Resource use&lt;/keyword&gt;&lt;keyword&gt;Stable coronary artery disease&lt;/keyword&gt;&lt;/keywords&gt;&lt;urls&gt;&lt;related-urls&gt;&lt;url&gt;https://www.ncbi.nlm.nih.gov/pubmed/27042338&lt;/url&gt;&lt;/related-urls&gt;&lt;/urls&gt;&lt;isbn&gt;2058-5225&lt;/isbn&gt;&lt;custom2&gt;PMC4816202&lt;/custom2&gt;&lt;titles&gt;&lt;title&gt;Long-term healthcare use and costs in patients with stable coronary artery disease: a population-based cohort using linked health records (CALIBER)&lt;/title&gt;&lt;secondary-title&gt;Eur Heart J Qual Care Clin Outcomes&lt;/secondary-title&gt;&lt;/titles&gt;&lt;pages&gt;125-140&lt;/pages&gt;&lt;number&gt;2&lt;/number&gt;&lt;contributors&gt;&lt;authors&gt;&lt;author&gt;Walker, S.&lt;/author&gt;&lt;author&gt;Asaria, M.&lt;/author&gt;&lt;author&gt;Manca, A.&lt;/author&gt;&lt;author&gt;Palmer, S.&lt;/author&gt;&lt;author&gt;Gale, C. P.&lt;/author&gt;&lt;author&gt;Shah, A. D.&lt;/author&gt;&lt;author&gt;Abrams, K. R.&lt;/author&gt;&lt;author&gt;Crowther, M.&lt;/author&gt;&lt;author&gt;Timmis, A.&lt;/author&gt;&lt;author&gt;Hemingway, H.&lt;/author&gt;&lt;author&gt;Sculpher, M.&lt;/author&gt;&lt;/authors&gt;&lt;/contributors&gt;&lt;language&gt;eng&lt;/language&gt;&lt;added-date format="utc"&gt;1621865848&lt;/added-date&gt;&lt;ref-type name="Journal Article"&gt;17&lt;/ref-type&gt;&lt;rec-number&gt;185&lt;/rec-number&gt;&lt;last-updated-date format="utc"&gt;1621865848&lt;/last-updated-date&gt;&lt;accession-num&gt;27042338&lt;/accession-num&gt;&lt;electronic-resource-num&gt;10.1093/ehjqcco/qcw003&lt;/electronic-resource-num&gt;&lt;volume&gt;2&lt;/volume&gt;&lt;/record&gt;&lt;/Cite&gt;&lt;/EndNote&gt;</w:instrText>
            </w:r>
            <w:r w:rsidRPr="00A20A17">
              <w:rPr>
                <w:rFonts w:ascii="Calibri" w:eastAsia="Calibri" w:hAnsi="Calibri" w:cs="Calibri"/>
                <w:color w:val="000000"/>
                <w:sz w:val="18"/>
                <w:szCs w:val="18"/>
              </w:rPr>
              <w:fldChar w:fldCharType="separate"/>
            </w:r>
            <w:r w:rsidRPr="00A20A17">
              <w:rPr>
                <w:rFonts w:ascii="Calibri" w:eastAsia="Calibri" w:hAnsi="Calibri" w:cs="Calibri"/>
                <w:noProof/>
                <w:color w:val="000000"/>
                <w:sz w:val="18"/>
                <w:szCs w:val="18"/>
                <w:vertAlign w:val="superscript"/>
              </w:rPr>
              <w:t>22</w:t>
            </w:r>
            <w:r w:rsidRPr="00A20A17">
              <w:rPr>
                <w:rFonts w:ascii="Calibri" w:eastAsia="Calibri" w:hAnsi="Calibri" w:cs="Calibri"/>
                <w:color w:val="000000"/>
                <w:sz w:val="18"/>
                <w:szCs w:val="18"/>
              </w:rPr>
              <w:fldChar w:fldCharType="end"/>
            </w:r>
            <w:r w:rsidRPr="00A20A17">
              <w:rPr>
                <w:rFonts w:ascii="Calibri" w:eastAsia="Calibri" w:hAnsi="Calibri" w:cs="Calibri"/>
                <w:color w:val="000000"/>
                <w:sz w:val="18"/>
                <w:szCs w:val="18"/>
              </w:rPr>
              <w:t xml:space="preserve">, inflated to 2019 </w:t>
            </w:r>
            <w:r w:rsidRPr="00A20A17">
              <w:rPr>
                <w:rFonts w:ascii="Calibri" w:eastAsia="Calibri" w:hAnsi="Calibri" w:cs="Calibri"/>
                <w:color w:val="000000"/>
                <w:sz w:val="18"/>
                <w:szCs w:val="18"/>
              </w:rPr>
              <w:fldChar w:fldCharType="begin"/>
            </w:r>
            <w:r w:rsidRPr="00A20A17">
              <w:rPr>
                <w:rFonts w:ascii="Calibri" w:eastAsia="Calibri" w:hAnsi="Calibri" w:cs="Calibri"/>
                <w:color w:val="000000"/>
                <w:sz w:val="18"/>
                <w:szCs w:val="18"/>
              </w:rPr>
              <w:instrText xml:space="preserve"> ADDIN EN.CITE &lt;EndNote&gt;&lt;Cite&gt;&lt;Author&gt;Curtis&lt;/Author&gt;&lt;Year&gt;2019&lt;/Year&gt;&lt;IDText&gt;Unit Costs of Health and Social Care 2019&lt;/IDText&gt;&lt;DisplayText&gt;&lt;style face="superscript"&gt;20&lt;/style&gt;&lt;/DisplayText&gt;&lt;record&gt;&lt;titles&gt;&lt;title&gt;Unit Costs of Health and Social Care 2019&lt;/title&gt;&lt;/titles&gt;&lt;contributors&gt;&lt;authors&gt;&lt;author&gt;Curtis, L.&lt;/author&gt;&lt;author&gt;Burns, A.&lt;/author&gt;&lt;/authors&gt;&lt;/contributors&gt;&lt;added-date format="utc"&gt;1621867475&lt;/added-date&gt;&lt;pub-location&gt;Canterbury&lt;/pub-location&gt;&lt;ref-type name="Book"&gt;6&lt;/ref-type&gt;&lt;dates&gt;&lt;year&gt;2019&lt;/year&gt;&lt;/dates&gt;&lt;rec-number&gt;192&lt;/rec-number&gt;&lt;publisher&gt;Personal Social Services Research Unit, University of Kent&lt;/publisher&gt;&lt;last-updated-date format="utc"&gt;1621867475&lt;/last-updated-date&gt;&lt;electronic-resource-num&gt;10.22024/UniKent/01.02.79286&lt;/electronic-resource-num&gt;&lt;/record&gt;&lt;/Cite&gt;&lt;/EndNote&gt;</w:instrText>
            </w:r>
            <w:r w:rsidRPr="00A20A17">
              <w:rPr>
                <w:rFonts w:ascii="Calibri" w:eastAsia="Calibri" w:hAnsi="Calibri" w:cs="Calibri"/>
                <w:color w:val="000000"/>
                <w:sz w:val="18"/>
                <w:szCs w:val="18"/>
              </w:rPr>
              <w:fldChar w:fldCharType="separate"/>
            </w:r>
            <w:r w:rsidRPr="00A20A17">
              <w:rPr>
                <w:rFonts w:ascii="Calibri" w:eastAsia="Calibri" w:hAnsi="Calibri" w:cs="Calibri"/>
                <w:noProof/>
                <w:color w:val="000000"/>
                <w:sz w:val="18"/>
                <w:szCs w:val="18"/>
                <w:vertAlign w:val="superscript"/>
              </w:rPr>
              <w:t>20</w:t>
            </w:r>
            <w:r w:rsidRPr="00A20A17">
              <w:rPr>
                <w:rFonts w:ascii="Calibri" w:eastAsia="Calibri" w:hAnsi="Calibri" w:cs="Calibri"/>
                <w:color w:val="000000"/>
                <w:sz w:val="18"/>
                <w:szCs w:val="18"/>
              </w:rPr>
              <w:fldChar w:fldCharType="end"/>
            </w:r>
          </w:p>
          <w:p w14:paraId="5059413E" w14:textId="77777777" w:rsidR="00FE37DB" w:rsidRPr="00A20A17" w:rsidRDefault="00FE37DB" w:rsidP="00A80B48">
            <w:pPr>
              <w:spacing w:before="60" w:after="60" w:line="240" w:lineRule="auto"/>
              <w:rPr>
                <w:rFonts w:ascii="Calibri" w:eastAsia="Calibri" w:hAnsi="Calibri" w:cs="Calibri"/>
                <w:color w:val="000000"/>
                <w:sz w:val="18"/>
                <w:szCs w:val="18"/>
              </w:rPr>
            </w:pPr>
            <w:r w:rsidRPr="00A20A17">
              <w:rPr>
                <w:rFonts w:ascii="Calibri" w:eastAsia="Calibri" w:hAnsi="Calibri" w:cs="Calibri"/>
                <w:color w:val="000000"/>
                <w:sz w:val="18"/>
                <w:szCs w:val="18"/>
              </w:rPr>
              <w:t>Distribution for the probabilistic sensitivity analysis: Gamma.</w:t>
            </w:r>
          </w:p>
        </w:tc>
      </w:tr>
    </w:tbl>
    <w:p w14:paraId="38CAB936" w14:textId="77777777" w:rsidR="00FE37DB" w:rsidRPr="00A20A17" w:rsidRDefault="00FE37DB" w:rsidP="00FE37DB">
      <w:pPr>
        <w:spacing w:before="120" w:after="120"/>
        <w:rPr>
          <w:rFonts w:ascii="Calibri" w:eastAsia="Calibri" w:hAnsi="Calibri" w:cs="Arial"/>
        </w:rPr>
      </w:pPr>
    </w:p>
    <w:p w14:paraId="54302867" w14:textId="77777777" w:rsidR="00FE37DB" w:rsidRPr="00A20A17" w:rsidRDefault="00FE37DB" w:rsidP="00FE37DB">
      <w:pPr>
        <w:keepNext/>
        <w:spacing w:before="120"/>
        <w:rPr>
          <w:rFonts w:ascii="Calibri" w:eastAsia="Calibri" w:hAnsi="Calibri" w:cs="Arial"/>
          <w:i/>
          <w:iCs/>
          <w:color w:val="44546A"/>
          <w:sz w:val="18"/>
          <w:szCs w:val="18"/>
        </w:rPr>
      </w:pPr>
      <w:r w:rsidRPr="00A20A17">
        <w:rPr>
          <w:rFonts w:ascii="Calibri" w:eastAsia="Calibri" w:hAnsi="Calibri" w:cs="Arial"/>
          <w:i/>
          <w:iCs/>
          <w:color w:val="44546A"/>
          <w:sz w:val="18"/>
          <w:szCs w:val="18"/>
        </w:rPr>
        <w:t xml:space="preserve">Table </w:t>
      </w:r>
      <w:r w:rsidRPr="00A20A17">
        <w:rPr>
          <w:rFonts w:ascii="Calibri" w:eastAsia="Calibri" w:hAnsi="Calibri" w:cs="Arial"/>
          <w:i/>
          <w:iCs/>
          <w:color w:val="44546A"/>
          <w:sz w:val="18"/>
          <w:szCs w:val="18"/>
        </w:rPr>
        <w:fldChar w:fldCharType="begin"/>
      </w:r>
      <w:r w:rsidRPr="00A20A17">
        <w:rPr>
          <w:rFonts w:ascii="Calibri" w:eastAsia="Calibri" w:hAnsi="Calibri" w:cs="Arial"/>
          <w:i/>
          <w:iCs/>
          <w:color w:val="44546A"/>
          <w:sz w:val="18"/>
          <w:szCs w:val="18"/>
        </w:rPr>
        <w:instrText>SEQ Table \* ARABIC</w:instrText>
      </w:r>
      <w:r w:rsidRPr="00A20A17">
        <w:rPr>
          <w:rFonts w:ascii="Calibri" w:eastAsia="Calibri" w:hAnsi="Calibri" w:cs="Arial"/>
          <w:i/>
          <w:iCs/>
          <w:color w:val="44546A"/>
          <w:sz w:val="18"/>
          <w:szCs w:val="18"/>
        </w:rPr>
        <w:fldChar w:fldCharType="separate"/>
      </w:r>
      <w:r w:rsidRPr="00A20A17">
        <w:rPr>
          <w:rFonts w:ascii="Calibri" w:eastAsia="Calibri" w:hAnsi="Calibri" w:cs="Arial"/>
          <w:i/>
          <w:iCs/>
          <w:noProof/>
          <w:color w:val="44546A"/>
          <w:sz w:val="18"/>
          <w:szCs w:val="18"/>
        </w:rPr>
        <w:t>16</w:t>
      </w:r>
      <w:r w:rsidRPr="00A20A17">
        <w:rPr>
          <w:rFonts w:ascii="Calibri" w:eastAsia="Calibri" w:hAnsi="Calibri" w:cs="Arial"/>
          <w:i/>
          <w:iCs/>
          <w:color w:val="44546A"/>
          <w:sz w:val="18"/>
          <w:szCs w:val="18"/>
        </w:rPr>
        <w:fldChar w:fldCharType="end"/>
      </w:r>
      <w:r w:rsidRPr="00A20A17">
        <w:rPr>
          <w:rFonts w:ascii="Calibri" w:eastAsia="Calibri" w:hAnsi="Calibri" w:cs="Arial"/>
          <w:i/>
          <w:iCs/>
          <w:color w:val="44546A"/>
          <w:sz w:val="18"/>
          <w:szCs w:val="18"/>
        </w:rPr>
        <w:t>: Calculations for health-related quality of life weights post-event</w:t>
      </w:r>
    </w:p>
    <w:tbl>
      <w:tblPr>
        <w:tblStyle w:val="TableGrid2"/>
        <w:tblW w:w="0" w:type="auto"/>
        <w:tblLook w:val="04A0" w:firstRow="1" w:lastRow="0" w:firstColumn="1" w:lastColumn="0" w:noHBand="0" w:noVBand="1"/>
      </w:tblPr>
      <w:tblGrid>
        <w:gridCol w:w="2838"/>
        <w:gridCol w:w="1341"/>
        <w:gridCol w:w="1505"/>
        <w:gridCol w:w="2108"/>
        <w:gridCol w:w="1224"/>
      </w:tblGrid>
      <w:tr w:rsidR="00FE37DB" w:rsidRPr="00A20A17" w14:paraId="3AAA5DB0" w14:textId="77777777" w:rsidTr="00A80B48">
        <w:trPr>
          <w:trHeight w:val="300"/>
        </w:trPr>
        <w:tc>
          <w:tcPr>
            <w:tcW w:w="0" w:type="auto"/>
            <w:noWrap/>
          </w:tcPr>
          <w:p w14:paraId="568AE4D0"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Health state</w:t>
            </w:r>
          </w:p>
        </w:tc>
        <w:tc>
          <w:tcPr>
            <w:tcW w:w="0" w:type="auto"/>
          </w:tcPr>
          <w:p w14:paraId="2978E0E5"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Original mean value</w:t>
            </w:r>
          </w:p>
        </w:tc>
        <w:tc>
          <w:tcPr>
            <w:tcW w:w="0" w:type="auto"/>
          </w:tcPr>
          <w:p w14:paraId="1D588929"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Original standard error</w:t>
            </w:r>
          </w:p>
        </w:tc>
        <w:tc>
          <w:tcPr>
            <w:tcW w:w="0" w:type="auto"/>
          </w:tcPr>
          <w:p w14:paraId="6892A6CF"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Proportion of cases in CPRD cohort</w:t>
            </w:r>
          </w:p>
        </w:tc>
        <w:tc>
          <w:tcPr>
            <w:tcW w:w="0" w:type="auto"/>
          </w:tcPr>
          <w:p w14:paraId="5D1646E3"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Used in the model</w:t>
            </w:r>
          </w:p>
        </w:tc>
      </w:tr>
      <w:tr w:rsidR="00FE37DB" w:rsidRPr="00A20A17" w14:paraId="03E202C1" w14:textId="77777777" w:rsidTr="00A80B48">
        <w:trPr>
          <w:trHeight w:val="300"/>
        </w:trPr>
        <w:tc>
          <w:tcPr>
            <w:tcW w:w="0" w:type="auto"/>
            <w:gridSpan w:val="5"/>
            <w:shd w:val="clear" w:color="auto" w:fill="E7E6E6"/>
          </w:tcPr>
          <w:p w14:paraId="34D90001"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Post-first non-fatal acute coronary syndrome</w:t>
            </w:r>
          </w:p>
        </w:tc>
      </w:tr>
      <w:tr w:rsidR="00FE37DB" w:rsidRPr="00A20A17" w14:paraId="10D4D294" w14:textId="77777777" w:rsidTr="00A80B48">
        <w:trPr>
          <w:trHeight w:val="300"/>
        </w:trPr>
        <w:tc>
          <w:tcPr>
            <w:tcW w:w="0" w:type="auto"/>
            <w:noWrap/>
          </w:tcPr>
          <w:p w14:paraId="1090582B"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Unstable angina (year 1)</w:t>
            </w:r>
          </w:p>
        </w:tc>
        <w:tc>
          <w:tcPr>
            <w:tcW w:w="0" w:type="auto"/>
          </w:tcPr>
          <w:p w14:paraId="0C9329FD"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0.77</w:t>
            </w:r>
          </w:p>
        </w:tc>
        <w:tc>
          <w:tcPr>
            <w:tcW w:w="0" w:type="auto"/>
          </w:tcPr>
          <w:p w14:paraId="04BE8384"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0.038</w:t>
            </w:r>
          </w:p>
        </w:tc>
        <w:tc>
          <w:tcPr>
            <w:tcW w:w="0" w:type="auto"/>
            <w:shd w:val="clear" w:color="auto" w:fill="auto"/>
          </w:tcPr>
          <w:p w14:paraId="1BC7FFB3"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15 (45%)</w:t>
            </w:r>
          </w:p>
        </w:tc>
        <w:tc>
          <w:tcPr>
            <w:tcW w:w="0" w:type="auto"/>
            <w:vMerge w:val="restart"/>
          </w:tcPr>
          <w:p w14:paraId="62A937F6"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0.76</w:t>
            </w:r>
          </w:p>
        </w:tc>
      </w:tr>
      <w:tr w:rsidR="00FE37DB" w:rsidRPr="00A20A17" w14:paraId="25F0C24C" w14:textId="77777777" w:rsidTr="00A80B48">
        <w:trPr>
          <w:trHeight w:val="300"/>
        </w:trPr>
        <w:tc>
          <w:tcPr>
            <w:tcW w:w="0" w:type="auto"/>
            <w:noWrap/>
          </w:tcPr>
          <w:p w14:paraId="4F9F350E"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Myocardial infarction (year 1)</w:t>
            </w:r>
          </w:p>
        </w:tc>
        <w:tc>
          <w:tcPr>
            <w:tcW w:w="0" w:type="auto"/>
          </w:tcPr>
          <w:p w14:paraId="29C34A41"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0.76</w:t>
            </w:r>
          </w:p>
        </w:tc>
        <w:tc>
          <w:tcPr>
            <w:tcW w:w="0" w:type="auto"/>
          </w:tcPr>
          <w:p w14:paraId="4404763B"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0.018</w:t>
            </w:r>
          </w:p>
        </w:tc>
        <w:tc>
          <w:tcPr>
            <w:tcW w:w="0" w:type="auto"/>
            <w:shd w:val="clear" w:color="auto" w:fill="auto"/>
          </w:tcPr>
          <w:p w14:paraId="7A388E5F"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18 (55%)</w:t>
            </w:r>
          </w:p>
        </w:tc>
        <w:tc>
          <w:tcPr>
            <w:tcW w:w="0" w:type="auto"/>
            <w:vMerge/>
          </w:tcPr>
          <w:p w14:paraId="66BAC3A7" w14:textId="77777777" w:rsidR="00FE37DB" w:rsidRPr="00A20A17" w:rsidRDefault="00FE37DB" w:rsidP="00A80B48">
            <w:pPr>
              <w:spacing w:before="60" w:after="60" w:line="240" w:lineRule="auto"/>
              <w:jc w:val="right"/>
              <w:rPr>
                <w:rFonts w:ascii="Calibri" w:eastAsia="Calibri" w:hAnsi="Calibri" w:cs="Calibri"/>
                <w:sz w:val="18"/>
                <w:szCs w:val="18"/>
              </w:rPr>
            </w:pPr>
          </w:p>
        </w:tc>
      </w:tr>
      <w:tr w:rsidR="00FE37DB" w:rsidRPr="00A20A17" w14:paraId="1FA4AA2F" w14:textId="77777777" w:rsidTr="00A80B48">
        <w:trPr>
          <w:trHeight w:val="300"/>
        </w:trPr>
        <w:tc>
          <w:tcPr>
            <w:tcW w:w="0" w:type="auto"/>
            <w:noWrap/>
          </w:tcPr>
          <w:p w14:paraId="205AB547"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Post-unstable angina (year 2+)</w:t>
            </w:r>
          </w:p>
        </w:tc>
        <w:tc>
          <w:tcPr>
            <w:tcW w:w="0" w:type="auto"/>
          </w:tcPr>
          <w:p w14:paraId="52E92C33"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0.88</w:t>
            </w:r>
          </w:p>
        </w:tc>
        <w:tc>
          <w:tcPr>
            <w:tcW w:w="0" w:type="auto"/>
          </w:tcPr>
          <w:p w14:paraId="56517E56"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0.018</w:t>
            </w:r>
          </w:p>
        </w:tc>
        <w:tc>
          <w:tcPr>
            <w:tcW w:w="0" w:type="auto"/>
            <w:shd w:val="clear" w:color="auto" w:fill="auto"/>
          </w:tcPr>
          <w:p w14:paraId="0F6892F8"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15 (45%)</w:t>
            </w:r>
          </w:p>
        </w:tc>
        <w:tc>
          <w:tcPr>
            <w:tcW w:w="0" w:type="auto"/>
            <w:vMerge w:val="restart"/>
          </w:tcPr>
          <w:p w14:paraId="39DAF2E2"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0.88</w:t>
            </w:r>
          </w:p>
        </w:tc>
      </w:tr>
      <w:tr w:rsidR="00FE37DB" w:rsidRPr="00A20A17" w14:paraId="179A39C6" w14:textId="77777777" w:rsidTr="00A80B48">
        <w:trPr>
          <w:trHeight w:val="300"/>
        </w:trPr>
        <w:tc>
          <w:tcPr>
            <w:tcW w:w="0" w:type="auto"/>
            <w:noWrap/>
          </w:tcPr>
          <w:p w14:paraId="0B219E00"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Post-myocardial infarction (year 2+)</w:t>
            </w:r>
          </w:p>
        </w:tc>
        <w:tc>
          <w:tcPr>
            <w:tcW w:w="0" w:type="auto"/>
          </w:tcPr>
          <w:p w14:paraId="23B72012"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0.88</w:t>
            </w:r>
          </w:p>
        </w:tc>
        <w:tc>
          <w:tcPr>
            <w:tcW w:w="0" w:type="auto"/>
          </w:tcPr>
          <w:p w14:paraId="4356239D"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0.018</w:t>
            </w:r>
          </w:p>
        </w:tc>
        <w:tc>
          <w:tcPr>
            <w:tcW w:w="0" w:type="auto"/>
            <w:shd w:val="clear" w:color="auto" w:fill="auto"/>
          </w:tcPr>
          <w:p w14:paraId="5AA1060A"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18 (55%)</w:t>
            </w:r>
          </w:p>
        </w:tc>
        <w:tc>
          <w:tcPr>
            <w:tcW w:w="0" w:type="auto"/>
            <w:vMerge/>
          </w:tcPr>
          <w:p w14:paraId="6E719CD3" w14:textId="77777777" w:rsidR="00FE37DB" w:rsidRPr="00A20A17" w:rsidRDefault="00FE37DB" w:rsidP="00A80B48">
            <w:pPr>
              <w:spacing w:before="60" w:after="60" w:line="240" w:lineRule="auto"/>
              <w:jc w:val="right"/>
              <w:rPr>
                <w:rFonts w:ascii="Calibri" w:eastAsia="Calibri" w:hAnsi="Calibri" w:cs="Calibri"/>
                <w:sz w:val="18"/>
                <w:szCs w:val="18"/>
              </w:rPr>
            </w:pPr>
          </w:p>
        </w:tc>
      </w:tr>
      <w:tr w:rsidR="00FE37DB" w:rsidRPr="00A20A17" w14:paraId="30EE92A0" w14:textId="77777777" w:rsidTr="00A80B48">
        <w:trPr>
          <w:trHeight w:val="300"/>
        </w:trPr>
        <w:tc>
          <w:tcPr>
            <w:tcW w:w="0" w:type="auto"/>
            <w:gridSpan w:val="5"/>
            <w:shd w:val="clear" w:color="auto" w:fill="E7E6E6"/>
          </w:tcPr>
          <w:p w14:paraId="12A722CB"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Post-first non-fatal ischaemic stroke or transient ischaemic attack</w:t>
            </w:r>
          </w:p>
        </w:tc>
      </w:tr>
      <w:tr w:rsidR="00FE37DB" w:rsidRPr="00A20A17" w14:paraId="18B2A32D" w14:textId="77777777" w:rsidTr="00A80B48">
        <w:trPr>
          <w:trHeight w:val="300"/>
        </w:trPr>
        <w:tc>
          <w:tcPr>
            <w:tcW w:w="0" w:type="auto"/>
            <w:noWrap/>
          </w:tcPr>
          <w:p w14:paraId="4B7BC589"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Stroke</w:t>
            </w:r>
          </w:p>
        </w:tc>
        <w:tc>
          <w:tcPr>
            <w:tcW w:w="0" w:type="auto"/>
          </w:tcPr>
          <w:p w14:paraId="6656088F"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0.63</w:t>
            </w:r>
          </w:p>
        </w:tc>
        <w:tc>
          <w:tcPr>
            <w:tcW w:w="0" w:type="auto"/>
          </w:tcPr>
          <w:p w14:paraId="0D935674"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0.04</w:t>
            </w:r>
          </w:p>
        </w:tc>
        <w:tc>
          <w:tcPr>
            <w:tcW w:w="0" w:type="auto"/>
            <w:shd w:val="clear" w:color="auto" w:fill="auto"/>
          </w:tcPr>
          <w:p w14:paraId="68686752"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23 (76%)</w:t>
            </w:r>
          </w:p>
        </w:tc>
        <w:tc>
          <w:tcPr>
            <w:tcW w:w="0" w:type="auto"/>
            <w:vMerge w:val="restart"/>
          </w:tcPr>
          <w:p w14:paraId="0850A410"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0.72</w:t>
            </w:r>
          </w:p>
        </w:tc>
      </w:tr>
      <w:tr w:rsidR="00FE37DB" w:rsidRPr="00A20A17" w14:paraId="5992BFB2" w14:textId="77777777" w:rsidTr="00A80B48">
        <w:trPr>
          <w:trHeight w:val="300"/>
        </w:trPr>
        <w:tc>
          <w:tcPr>
            <w:tcW w:w="0" w:type="auto"/>
            <w:noWrap/>
          </w:tcPr>
          <w:p w14:paraId="182AB304"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Transient ischaemic attack</w:t>
            </w:r>
          </w:p>
        </w:tc>
        <w:tc>
          <w:tcPr>
            <w:tcW w:w="0" w:type="auto"/>
          </w:tcPr>
          <w:p w14:paraId="392266BD"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0.90</w:t>
            </w:r>
          </w:p>
        </w:tc>
        <w:tc>
          <w:tcPr>
            <w:tcW w:w="0" w:type="auto"/>
          </w:tcPr>
          <w:p w14:paraId="77CC22AB"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0.025</w:t>
            </w:r>
          </w:p>
        </w:tc>
        <w:tc>
          <w:tcPr>
            <w:tcW w:w="0" w:type="auto"/>
            <w:shd w:val="clear" w:color="auto" w:fill="auto"/>
          </w:tcPr>
          <w:p w14:paraId="6D5AFB4C"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12 (34%</w:t>
            </w:r>
          </w:p>
        </w:tc>
        <w:tc>
          <w:tcPr>
            <w:tcW w:w="0" w:type="auto"/>
            <w:vMerge/>
          </w:tcPr>
          <w:p w14:paraId="56677224" w14:textId="77777777" w:rsidR="00FE37DB" w:rsidRPr="00A20A17" w:rsidRDefault="00FE37DB" w:rsidP="00A80B48">
            <w:pPr>
              <w:spacing w:before="60" w:after="60" w:line="240" w:lineRule="auto"/>
              <w:jc w:val="right"/>
              <w:rPr>
                <w:rFonts w:ascii="Calibri" w:eastAsia="Calibri" w:hAnsi="Calibri" w:cs="Calibri"/>
                <w:sz w:val="18"/>
                <w:szCs w:val="18"/>
              </w:rPr>
            </w:pPr>
          </w:p>
        </w:tc>
      </w:tr>
      <w:tr w:rsidR="00FE37DB" w:rsidRPr="00A20A17" w14:paraId="3CE9639A" w14:textId="77777777" w:rsidTr="00A80B48">
        <w:trPr>
          <w:trHeight w:val="300"/>
        </w:trPr>
        <w:tc>
          <w:tcPr>
            <w:tcW w:w="0" w:type="auto"/>
            <w:gridSpan w:val="5"/>
          </w:tcPr>
          <w:p w14:paraId="6DD0E9BA"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 xml:space="preserve">Source of the original values is the NICE CG181 </w:t>
            </w:r>
            <w:r w:rsidRPr="00A20A17">
              <w:rPr>
                <w:rFonts w:ascii="Calibri" w:eastAsia="Calibri" w:hAnsi="Calibri" w:cs="Calibri"/>
                <w:sz w:val="18"/>
                <w:szCs w:val="18"/>
              </w:rPr>
              <w:fldChar w:fldCharType="begin"/>
            </w:r>
            <w:r w:rsidRPr="00A20A17">
              <w:rPr>
                <w:rFonts w:ascii="Calibri" w:eastAsia="Calibri" w:hAnsi="Calibri" w:cs="Calibri"/>
                <w:sz w:val="18"/>
                <w:szCs w:val="18"/>
              </w:rPr>
              <w:instrText xml:space="preserve"> ADDIN EN.CITE &lt;EndNote&gt;&lt;Cite&gt;&lt;Author&gt;NICE&lt;/Author&gt;&lt;Year&gt;2014&lt;/Year&gt;&lt;IDText&gt;Clinical guideline 181. Lipid modification: cardiovascular risk assessment and the modification of blood lipids for the primary and secondary prevention of cardiovascular disease&lt;/IDText&gt;&lt;DisplayText&gt;&lt;style face="superscript"&gt;12&lt;/style&gt;&lt;/DisplayText&gt;&lt;record&gt;&lt;titles&gt;&lt;title&gt;Clinical guideline 181. Lipid modification: cardiovascular risk assessment and the modification of blood lipids for the primary and secondary prevention of cardiovascular disease&lt;/title&gt;&lt;short-title&gt;Clinical guideline 181. Lipid modification: cardiovascular risk assessment and the modification of blood lipids for the primary and secondary prevention of cardiovascular disease&lt;/short-title&gt;&lt;/titles&gt;&lt;contributors&gt;&lt;authors&gt;&lt;author&gt;NICE&lt;/author&gt;&lt;/authors&gt;&lt;/contributors&gt;&lt;added-date format="utc"&gt;1603453281&lt;/added-date&gt;&lt;ref-type name="Report"&gt;27&lt;/ref-type&gt;&lt;dates&gt;&lt;year&gt;2014&lt;/year&gt;&lt;/dates&gt;&lt;rec-number&gt;62&lt;/rec-number&gt;&lt;last-updated-date format="utc"&gt;1603453281&lt;/last-updated-date&gt;&lt;/record&gt;&lt;/Cite&gt;&lt;/EndNote&gt;</w:instrText>
            </w:r>
            <w:r w:rsidRPr="00A20A17">
              <w:rPr>
                <w:rFonts w:ascii="Calibri" w:eastAsia="Calibri" w:hAnsi="Calibri" w:cs="Calibri"/>
                <w:sz w:val="18"/>
                <w:szCs w:val="18"/>
              </w:rPr>
              <w:fldChar w:fldCharType="separate"/>
            </w:r>
            <w:r w:rsidRPr="00A20A17">
              <w:rPr>
                <w:rFonts w:ascii="Calibri" w:eastAsia="Calibri" w:hAnsi="Calibri" w:cs="Calibri"/>
                <w:noProof/>
                <w:sz w:val="18"/>
                <w:szCs w:val="18"/>
                <w:vertAlign w:val="superscript"/>
              </w:rPr>
              <w:t>12</w:t>
            </w:r>
            <w:r w:rsidRPr="00A20A17">
              <w:rPr>
                <w:rFonts w:ascii="Calibri" w:eastAsia="Calibri" w:hAnsi="Calibri" w:cs="Calibri"/>
                <w:sz w:val="18"/>
                <w:szCs w:val="18"/>
              </w:rPr>
              <w:fldChar w:fldCharType="end"/>
            </w:r>
            <w:r w:rsidRPr="00A20A17">
              <w:rPr>
                <w:rFonts w:ascii="Calibri" w:eastAsia="Calibri" w:hAnsi="Calibri" w:cs="Calibri"/>
                <w:sz w:val="18"/>
                <w:szCs w:val="18"/>
              </w:rPr>
              <w:t>.</w:t>
            </w:r>
          </w:p>
          <w:p w14:paraId="02A36B27"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sz w:val="18"/>
                <w:szCs w:val="18"/>
              </w:rPr>
              <w:t>Values used in the model are the weighted average of the original values weighted with the relative proportion of cases in the CPRD cohort.</w:t>
            </w:r>
          </w:p>
          <w:p w14:paraId="52525DE8" w14:textId="77777777" w:rsidR="00FE37DB" w:rsidRPr="00A20A17" w:rsidRDefault="00FE37DB" w:rsidP="00A80B48">
            <w:pPr>
              <w:spacing w:before="60" w:after="60" w:line="240" w:lineRule="auto"/>
              <w:rPr>
                <w:rFonts w:ascii="Calibri" w:eastAsia="Calibri" w:hAnsi="Calibri" w:cs="Calibri"/>
                <w:sz w:val="18"/>
                <w:szCs w:val="18"/>
              </w:rPr>
            </w:pPr>
            <w:r w:rsidRPr="00A20A17">
              <w:rPr>
                <w:rFonts w:ascii="Calibri" w:eastAsia="Calibri" w:hAnsi="Calibri" w:cs="Calibri"/>
                <w:color w:val="000000"/>
                <w:sz w:val="18"/>
                <w:szCs w:val="18"/>
              </w:rPr>
              <w:t>Distribution for the probabilistic sensitivity analysis: Beta.</w:t>
            </w:r>
          </w:p>
        </w:tc>
      </w:tr>
    </w:tbl>
    <w:p w14:paraId="609EDF03" w14:textId="77777777" w:rsidR="00FE37DB" w:rsidRPr="00A20A17" w:rsidRDefault="00FE37DB" w:rsidP="00FE37DB">
      <w:pPr>
        <w:spacing w:before="120" w:after="120"/>
        <w:rPr>
          <w:rFonts w:ascii="Calibri" w:eastAsia="Calibri" w:hAnsi="Calibri" w:cs="Arial"/>
        </w:rPr>
      </w:pPr>
    </w:p>
    <w:p w14:paraId="49DE6EA6" w14:textId="77777777" w:rsidR="00FE37DB" w:rsidRPr="00A20A17" w:rsidRDefault="00FE37DB" w:rsidP="00FE37DB">
      <w:pPr>
        <w:keepNext/>
        <w:keepLines/>
        <w:numPr>
          <w:ilvl w:val="0"/>
          <w:numId w:val="6"/>
        </w:numPr>
        <w:spacing w:before="240" w:after="240"/>
        <w:ind w:left="0" w:firstLine="0"/>
        <w:outlineLvl w:val="0"/>
        <w:rPr>
          <w:rFonts w:ascii="Calibri Light" w:eastAsia="Calibri Light" w:hAnsi="Calibri Light" w:cs="Times New Roman"/>
          <w:color w:val="2F5496"/>
          <w:sz w:val="32"/>
          <w:szCs w:val="32"/>
        </w:rPr>
      </w:pPr>
      <w:bookmarkStart w:id="12" w:name="_Toc73625976"/>
      <w:r w:rsidRPr="00A20A17">
        <w:rPr>
          <w:rFonts w:ascii="Calibri Light" w:eastAsia="Calibri Light" w:hAnsi="Calibri Light" w:cs="Times New Roman"/>
          <w:color w:val="2F5496"/>
          <w:sz w:val="32"/>
          <w:szCs w:val="32"/>
        </w:rPr>
        <w:t>Scenario analysis</w:t>
      </w:r>
      <w:bookmarkEnd w:id="12"/>
    </w:p>
    <w:p w14:paraId="7547BA1B" w14:textId="77777777" w:rsidR="00FE37DB" w:rsidRPr="00A20A17" w:rsidRDefault="00FE37DB" w:rsidP="00FE37DB">
      <w:pPr>
        <w:keepNext/>
        <w:keepLines/>
        <w:spacing w:before="240" w:after="120"/>
        <w:outlineLvl w:val="1"/>
        <w:rPr>
          <w:rFonts w:ascii="Calibri Light" w:eastAsia="Calibri Light" w:hAnsi="Calibri Light" w:cs="Times New Roman"/>
          <w:color w:val="2F5496"/>
          <w:sz w:val="26"/>
          <w:szCs w:val="26"/>
        </w:rPr>
      </w:pPr>
      <w:bookmarkStart w:id="13" w:name="_Toc73625977"/>
      <w:r w:rsidRPr="00A20A17">
        <w:rPr>
          <w:rFonts w:ascii="Calibri Light" w:eastAsia="Calibri Light" w:hAnsi="Calibri Light" w:cs="Times New Roman"/>
          <w:color w:val="2F5496"/>
          <w:sz w:val="26"/>
          <w:szCs w:val="26"/>
        </w:rPr>
        <w:t>List of scenario analyses</w:t>
      </w:r>
      <w:bookmarkEnd w:id="13"/>
    </w:p>
    <w:p w14:paraId="5BBB9BE9" w14:textId="77777777" w:rsidR="00FE37DB" w:rsidRPr="00A20A17" w:rsidRDefault="00FE37DB" w:rsidP="00FE37DB">
      <w:pPr>
        <w:spacing w:before="120" w:after="120"/>
        <w:rPr>
          <w:rFonts w:ascii="Calibri" w:eastAsia="Calibri" w:hAnsi="Calibri" w:cs="Arial"/>
        </w:rPr>
      </w:pPr>
    </w:p>
    <w:p w14:paraId="47592E75" w14:textId="77777777" w:rsidR="00FE37DB" w:rsidRPr="00A20A17" w:rsidRDefault="00FE37DB" w:rsidP="00FE37DB">
      <w:pPr>
        <w:spacing w:before="120" w:after="120"/>
        <w:rPr>
          <w:rFonts w:ascii="Calibri" w:eastAsia="Calibri" w:hAnsi="Calibri" w:cs="Arial"/>
        </w:rPr>
      </w:pPr>
    </w:p>
    <w:p w14:paraId="43581F29" w14:textId="77777777" w:rsidR="00FE37DB" w:rsidRPr="00A20A17" w:rsidRDefault="00FE37DB" w:rsidP="00FE37DB">
      <w:pPr>
        <w:spacing w:before="120" w:after="120"/>
        <w:rPr>
          <w:rFonts w:ascii="Calibri" w:eastAsia="Calibri" w:hAnsi="Calibri" w:cs="Arial"/>
        </w:rPr>
        <w:sectPr w:rsidR="00FE37DB" w:rsidRPr="00A20A17" w:rsidSect="008C5EE1">
          <w:pgSz w:w="11906" w:h="16838"/>
          <w:pgMar w:top="1440" w:right="1440" w:bottom="1440" w:left="1440" w:header="708" w:footer="708" w:gutter="0"/>
          <w:cols w:space="708"/>
          <w:docGrid w:linePitch="360"/>
        </w:sectPr>
      </w:pPr>
    </w:p>
    <w:p w14:paraId="26B04DE0" w14:textId="77777777" w:rsidR="00FE37DB" w:rsidRPr="00A20A17" w:rsidRDefault="00FE37DB" w:rsidP="00FE37DB">
      <w:pPr>
        <w:keepNext/>
        <w:spacing w:before="120"/>
        <w:rPr>
          <w:rFonts w:ascii="Calibri" w:eastAsia="Calibri" w:hAnsi="Calibri" w:cs="Arial"/>
          <w:i/>
          <w:iCs/>
          <w:color w:val="44546A"/>
          <w:sz w:val="18"/>
          <w:szCs w:val="18"/>
        </w:rPr>
      </w:pPr>
      <w:r w:rsidRPr="00A20A17">
        <w:rPr>
          <w:rFonts w:ascii="Calibri" w:eastAsia="Calibri" w:hAnsi="Calibri" w:cs="Arial"/>
          <w:i/>
          <w:iCs/>
          <w:color w:val="44546A"/>
          <w:sz w:val="18"/>
          <w:szCs w:val="18"/>
        </w:rPr>
        <w:t xml:space="preserve">Table </w:t>
      </w:r>
      <w:r w:rsidRPr="00A20A17">
        <w:rPr>
          <w:rFonts w:ascii="Calibri" w:eastAsia="Calibri" w:hAnsi="Calibri" w:cs="Arial"/>
          <w:i/>
          <w:iCs/>
          <w:color w:val="44546A"/>
          <w:sz w:val="18"/>
          <w:szCs w:val="18"/>
        </w:rPr>
        <w:fldChar w:fldCharType="begin"/>
      </w:r>
      <w:r w:rsidRPr="00A20A17">
        <w:rPr>
          <w:rFonts w:ascii="Calibri" w:eastAsia="Calibri" w:hAnsi="Calibri" w:cs="Arial"/>
          <w:i/>
          <w:iCs/>
          <w:color w:val="44546A"/>
          <w:sz w:val="18"/>
          <w:szCs w:val="18"/>
        </w:rPr>
        <w:instrText>SEQ Table \* ARABIC</w:instrText>
      </w:r>
      <w:r w:rsidRPr="00A20A17">
        <w:rPr>
          <w:rFonts w:ascii="Calibri" w:eastAsia="Calibri" w:hAnsi="Calibri" w:cs="Arial"/>
          <w:i/>
          <w:iCs/>
          <w:color w:val="44546A"/>
          <w:sz w:val="18"/>
          <w:szCs w:val="18"/>
        </w:rPr>
        <w:fldChar w:fldCharType="separate"/>
      </w:r>
      <w:r w:rsidRPr="00A20A17">
        <w:rPr>
          <w:rFonts w:ascii="Calibri" w:eastAsia="Calibri" w:hAnsi="Calibri" w:cs="Arial"/>
          <w:i/>
          <w:iCs/>
          <w:noProof/>
          <w:color w:val="44546A"/>
          <w:sz w:val="18"/>
          <w:szCs w:val="18"/>
        </w:rPr>
        <w:t>17</w:t>
      </w:r>
      <w:r w:rsidRPr="00A20A17">
        <w:rPr>
          <w:rFonts w:ascii="Calibri" w:eastAsia="Calibri" w:hAnsi="Calibri" w:cs="Arial"/>
          <w:i/>
          <w:iCs/>
          <w:color w:val="44546A"/>
          <w:sz w:val="18"/>
          <w:szCs w:val="18"/>
        </w:rPr>
        <w:fldChar w:fldCharType="end"/>
      </w:r>
      <w:r w:rsidRPr="00A20A17">
        <w:rPr>
          <w:rFonts w:ascii="Calibri" w:eastAsia="Calibri" w:hAnsi="Calibri" w:cs="Arial"/>
          <w:i/>
          <w:iCs/>
          <w:color w:val="44546A"/>
          <w:sz w:val="18"/>
          <w:szCs w:val="18"/>
        </w:rPr>
        <w:t>: Scenario analyses</w:t>
      </w:r>
    </w:p>
    <w:tbl>
      <w:tblPr>
        <w:tblStyle w:val="TableGrid11"/>
        <w:tblW w:w="0" w:type="auto"/>
        <w:tblLook w:val="04A0" w:firstRow="1" w:lastRow="0" w:firstColumn="1" w:lastColumn="0" w:noHBand="0" w:noVBand="1"/>
      </w:tblPr>
      <w:tblGrid>
        <w:gridCol w:w="3554"/>
        <w:gridCol w:w="5562"/>
        <w:gridCol w:w="4832"/>
      </w:tblGrid>
      <w:tr w:rsidR="00FE37DB" w:rsidRPr="00A20A17" w14:paraId="07F4E6F7" w14:textId="77777777" w:rsidTr="00A80B48">
        <w:trPr>
          <w:tblHeader/>
        </w:trPr>
        <w:tc>
          <w:tcPr>
            <w:tcW w:w="0" w:type="auto"/>
          </w:tcPr>
          <w:p w14:paraId="54A84604" w14:textId="77777777" w:rsidR="00FE37DB" w:rsidRPr="00A20A17" w:rsidRDefault="00FE37DB" w:rsidP="00A80B48">
            <w:pPr>
              <w:spacing w:before="60" w:after="60" w:line="240" w:lineRule="auto"/>
              <w:rPr>
                <w:rFonts w:ascii="Calibri" w:eastAsia="Calibri" w:hAnsi="Calibri" w:cs="Arial"/>
                <w:b/>
                <w:bCs/>
                <w:sz w:val="18"/>
                <w:szCs w:val="18"/>
              </w:rPr>
            </w:pPr>
            <w:r w:rsidRPr="00A20A17">
              <w:rPr>
                <w:rFonts w:ascii="Calibri" w:eastAsia="Calibri" w:hAnsi="Calibri" w:cs="Arial"/>
                <w:b/>
                <w:bCs/>
                <w:sz w:val="18"/>
                <w:szCs w:val="18"/>
              </w:rPr>
              <w:t>Base-case</w:t>
            </w:r>
          </w:p>
        </w:tc>
        <w:tc>
          <w:tcPr>
            <w:tcW w:w="0" w:type="auto"/>
          </w:tcPr>
          <w:p w14:paraId="5692F7C5" w14:textId="77777777" w:rsidR="00FE37DB" w:rsidRPr="00A20A17" w:rsidRDefault="00FE37DB" w:rsidP="00A80B48">
            <w:pPr>
              <w:spacing w:before="60" w:after="60" w:line="240" w:lineRule="auto"/>
              <w:rPr>
                <w:rFonts w:ascii="Calibri" w:eastAsia="Calibri" w:hAnsi="Calibri" w:cs="Arial"/>
                <w:b/>
                <w:bCs/>
                <w:sz w:val="18"/>
                <w:szCs w:val="18"/>
              </w:rPr>
            </w:pPr>
            <w:r w:rsidRPr="00A20A17">
              <w:rPr>
                <w:rFonts w:ascii="Calibri" w:eastAsia="Calibri" w:hAnsi="Calibri" w:cs="Arial"/>
                <w:b/>
                <w:bCs/>
                <w:sz w:val="18"/>
                <w:szCs w:val="18"/>
              </w:rPr>
              <w:t>Scenario</w:t>
            </w:r>
          </w:p>
        </w:tc>
        <w:tc>
          <w:tcPr>
            <w:tcW w:w="0" w:type="auto"/>
          </w:tcPr>
          <w:p w14:paraId="5F38251E" w14:textId="77777777" w:rsidR="00FE37DB" w:rsidRPr="00A20A17" w:rsidRDefault="00FE37DB" w:rsidP="00A80B48">
            <w:pPr>
              <w:spacing w:before="60" w:after="60" w:line="240" w:lineRule="auto"/>
              <w:rPr>
                <w:rFonts w:ascii="Calibri" w:eastAsia="Calibri" w:hAnsi="Calibri" w:cs="Arial"/>
                <w:b/>
                <w:bCs/>
                <w:sz w:val="18"/>
                <w:szCs w:val="18"/>
              </w:rPr>
            </w:pPr>
            <w:r w:rsidRPr="00A20A17">
              <w:rPr>
                <w:rFonts w:ascii="Calibri" w:eastAsia="Calibri" w:hAnsi="Calibri" w:cs="Arial"/>
                <w:b/>
                <w:bCs/>
                <w:sz w:val="18"/>
                <w:szCs w:val="18"/>
              </w:rPr>
              <w:t>Justification for scenario analysis</w:t>
            </w:r>
          </w:p>
        </w:tc>
      </w:tr>
      <w:tr w:rsidR="00FE37DB" w:rsidRPr="00A20A17" w14:paraId="023FCCA2" w14:textId="77777777" w:rsidTr="00A80B48">
        <w:tc>
          <w:tcPr>
            <w:tcW w:w="0" w:type="auto"/>
            <w:gridSpan w:val="3"/>
            <w:shd w:val="clear" w:color="auto" w:fill="E7E6E6"/>
          </w:tcPr>
          <w:p w14:paraId="594D36E5"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Scenarios on the effect of FH diagnosis on health outcomes</w:t>
            </w:r>
          </w:p>
        </w:tc>
      </w:tr>
      <w:tr w:rsidR="00FE37DB" w:rsidRPr="00A20A17" w14:paraId="46E4803D" w14:textId="77777777" w:rsidTr="00A80B48">
        <w:tc>
          <w:tcPr>
            <w:tcW w:w="0" w:type="auto"/>
            <w:vMerge w:val="restart"/>
          </w:tcPr>
          <w:p w14:paraId="649A035E" w14:textId="77777777" w:rsidR="00FE37DB" w:rsidRPr="00A20A17" w:rsidRDefault="00FE37DB" w:rsidP="00A80B48">
            <w:pPr>
              <w:spacing w:before="60" w:after="60" w:line="240" w:lineRule="auto"/>
              <w:rPr>
                <w:rFonts w:ascii="Calibri" w:eastAsia="Calibri" w:hAnsi="Calibri" w:cs="Arial"/>
                <w:b/>
                <w:bCs/>
                <w:sz w:val="18"/>
                <w:szCs w:val="18"/>
              </w:rPr>
            </w:pPr>
            <w:r w:rsidRPr="00A20A17">
              <w:rPr>
                <w:rFonts w:ascii="Calibri" w:eastAsia="Calibri" w:hAnsi="Calibri" w:cs="Arial"/>
                <w:b/>
                <w:bCs/>
                <w:sz w:val="18"/>
                <w:szCs w:val="18"/>
              </w:rPr>
              <w:t>FH diagnosis reduces LDLC proportionally as observed before and after diagnosis in the entire CPRD cohort.</w:t>
            </w:r>
          </w:p>
        </w:tc>
        <w:tc>
          <w:tcPr>
            <w:tcW w:w="0" w:type="auto"/>
          </w:tcPr>
          <w:p w14:paraId="038026EA" w14:textId="77777777" w:rsidR="00FE37DB" w:rsidRPr="00A20A17" w:rsidRDefault="00FE37DB" w:rsidP="00A80B48">
            <w:pPr>
              <w:numPr>
                <w:ilvl w:val="0"/>
                <w:numId w:val="8"/>
              </w:numPr>
              <w:spacing w:before="60" w:after="60" w:line="240" w:lineRule="auto"/>
              <w:rPr>
                <w:rFonts w:ascii="Calibri" w:eastAsia="Calibri" w:hAnsi="Calibri" w:cs="Arial"/>
                <w:sz w:val="18"/>
                <w:szCs w:val="18"/>
              </w:rPr>
            </w:pPr>
            <w:r w:rsidRPr="00A20A17">
              <w:rPr>
                <w:rFonts w:ascii="Calibri" w:eastAsia="Calibri" w:hAnsi="Calibri" w:cs="Arial"/>
                <w:sz w:val="18"/>
                <w:szCs w:val="18"/>
              </w:rPr>
              <w:t xml:space="preserve">FH diagnosis reduces LDLC by 50% in line with the NICE CG71 target </w:t>
            </w:r>
            <w:r w:rsidRPr="00A20A17">
              <w:rPr>
                <w:rFonts w:ascii="Calibri" w:eastAsia="Calibri" w:hAnsi="Calibri" w:cs="Arial"/>
                <w:sz w:val="18"/>
                <w:szCs w:val="18"/>
              </w:rPr>
              <w:fldChar w:fldCharType="begin"/>
            </w:r>
            <w:r w:rsidRPr="00A20A17">
              <w:rPr>
                <w:rFonts w:ascii="Calibri" w:eastAsia="Calibri" w:hAnsi="Calibri" w:cs="Arial"/>
                <w:sz w:val="18"/>
                <w:szCs w:val="18"/>
              </w:rPr>
              <w:instrText xml:space="preserve"> ADDIN EN.CITE &lt;EndNote&gt;&lt;Cite&gt;&lt;Author&gt;NICE&lt;/Author&gt;&lt;Year&gt;2019&lt;/Year&gt;&lt;IDText&gt;Clinical guideline 71: identification and management of familial hypercholesterolaemia&lt;/IDText&gt;&lt;DisplayText&gt;&lt;style face="superscript"&gt;6&lt;/style&gt;&lt;/DisplayText&gt;&lt;record&gt;&lt;urls&gt;&lt;related-urls&gt;&lt;url&gt;https://www.nice.org.uk/guidance/cg71&lt;/url&gt;&lt;/related-urls&gt;&lt;/urls&gt;&lt;titles&gt;&lt;title&gt;Clinical guideline 71: identification and management of familial hypercholesterolaemia&lt;/title&gt;&lt;short-title&gt;Clinical guideline 71: identification and management of familial hypercholesterolaemia&lt;/short-title&gt;&lt;/titles&gt;&lt;access-date&gt;24/05/2021&lt;/access-date&gt;&lt;contributors&gt;&lt;authors&gt;&lt;author&gt;NICE&lt;/author&gt;&lt;/authors&gt;&lt;/contributors&gt;&lt;added-date format="utc"&gt;1603453281&lt;/added-date&gt;&lt;pub-location&gt;London, Manchester&lt;/pub-location&gt;&lt;ref-type name="Report"&gt;27&lt;/ref-type&gt;&lt;dates&gt;&lt;year&gt;2019&lt;/year&gt;&lt;/dates&gt;&lt;rec-number&gt;59&lt;/rec-number&gt;&lt;publisher&gt;NICE&lt;/publisher&gt;&lt;last-updated-date format="utc"&gt;1621854827&lt;/last-updated-date&gt;&lt;/record&gt;&lt;/Cite&gt;&lt;/EndNote&gt;</w:instrText>
            </w:r>
            <w:r w:rsidRPr="00A20A17">
              <w:rPr>
                <w:rFonts w:ascii="Calibri" w:eastAsia="Calibri" w:hAnsi="Calibri" w:cs="Arial"/>
                <w:sz w:val="18"/>
                <w:szCs w:val="18"/>
              </w:rPr>
              <w:fldChar w:fldCharType="separate"/>
            </w:r>
            <w:r w:rsidRPr="00A20A17">
              <w:rPr>
                <w:rFonts w:ascii="Calibri" w:eastAsia="Calibri" w:hAnsi="Calibri" w:cs="Arial"/>
                <w:noProof/>
                <w:sz w:val="18"/>
                <w:szCs w:val="18"/>
                <w:vertAlign w:val="superscript"/>
              </w:rPr>
              <w:t>6</w:t>
            </w:r>
            <w:r w:rsidRPr="00A20A17">
              <w:rPr>
                <w:rFonts w:ascii="Calibri" w:eastAsia="Calibri" w:hAnsi="Calibri" w:cs="Arial"/>
                <w:sz w:val="18"/>
                <w:szCs w:val="18"/>
              </w:rPr>
              <w:fldChar w:fldCharType="end"/>
            </w:r>
            <w:r w:rsidRPr="00A20A17">
              <w:rPr>
                <w:rFonts w:ascii="Calibri" w:eastAsia="Calibri" w:hAnsi="Calibri" w:cs="Arial"/>
                <w:sz w:val="18"/>
                <w:szCs w:val="18"/>
              </w:rPr>
              <w:t>.</w:t>
            </w:r>
          </w:p>
        </w:tc>
        <w:tc>
          <w:tcPr>
            <w:tcW w:w="0" w:type="auto"/>
            <w:vMerge w:val="restart"/>
          </w:tcPr>
          <w:p w14:paraId="6661897D"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The LDLC reduction observed in the CPRD cohort may not reflect the effect of FH diagnosis via cascade testing given the observational nature of the data and because it reflects past practice in primary care.</w:t>
            </w:r>
          </w:p>
        </w:tc>
      </w:tr>
      <w:tr w:rsidR="00FE37DB" w:rsidRPr="00A20A17" w14:paraId="699C4507" w14:textId="77777777" w:rsidTr="00A80B48">
        <w:tc>
          <w:tcPr>
            <w:tcW w:w="0" w:type="auto"/>
            <w:vMerge/>
          </w:tcPr>
          <w:p w14:paraId="4718795B" w14:textId="77777777" w:rsidR="00FE37DB" w:rsidRPr="00A20A17" w:rsidRDefault="00FE37DB" w:rsidP="00A80B48">
            <w:pPr>
              <w:spacing w:before="60" w:after="60" w:line="240" w:lineRule="auto"/>
              <w:rPr>
                <w:rFonts w:ascii="Calibri" w:eastAsia="Calibri" w:hAnsi="Calibri" w:cs="Arial"/>
                <w:sz w:val="18"/>
                <w:szCs w:val="18"/>
              </w:rPr>
            </w:pPr>
          </w:p>
        </w:tc>
        <w:tc>
          <w:tcPr>
            <w:tcW w:w="0" w:type="auto"/>
          </w:tcPr>
          <w:p w14:paraId="10F45FB1" w14:textId="77777777" w:rsidR="00FE37DB" w:rsidRPr="00A20A17" w:rsidRDefault="00FE37DB" w:rsidP="00A80B48">
            <w:pPr>
              <w:numPr>
                <w:ilvl w:val="0"/>
                <w:numId w:val="8"/>
              </w:numPr>
              <w:spacing w:before="60" w:after="60" w:line="240" w:lineRule="auto"/>
              <w:rPr>
                <w:rFonts w:ascii="Calibri" w:eastAsia="Calibri" w:hAnsi="Calibri" w:cs="Arial"/>
                <w:sz w:val="18"/>
                <w:szCs w:val="18"/>
              </w:rPr>
            </w:pPr>
            <w:r w:rsidRPr="00A20A17">
              <w:rPr>
                <w:rFonts w:ascii="Calibri" w:eastAsia="Calibri" w:hAnsi="Calibri" w:cs="Arial"/>
                <w:sz w:val="18"/>
                <w:szCs w:val="18"/>
              </w:rPr>
              <w:t xml:space="preserve">FH diagnosis reduces LDLC to the EAS targets of 3.5 mmol/L in children and adolescents, 1.8 mmol/L in adults in primary prevention and 1.4 mmol/L in adults in secondary prevention </w:t>
            </w:r>
            <w:r w:rsidRPr="00A20A17">
              <w:rPr>
                <w:rFonts w:ascii="Calibri" w:eastAsia="Calibri" w:hAnsi="Calibri" w:cs="Arial"/>
                <w:sz w:val="18"/>
                <w:szCs w:val="18"/>
              </w:rPr>
              <w:fldChar w:fldCharType="begin">
                <w:fldData xml:space="preserve">PEVuZE5vdGU+PENpdGU+PEF1dGhvcj5NYWNoPC9BdXRob3I+PFllYXI+MjAxOTwvWWVhcj48SURU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</w:fldData>
              </w:fldChar>
            </w:r>
            <w:r w:rsidRPr="00A20A17">
              <w:rPr>
                <w:rFonts w:ascii="Calibri" w:eastAsia="Calibri" w:hAnsi="Calibri" w:cs="Arial"/>
                <w:sz w:val="18"/>
                <w:szCs w:val="18"/>
              </w:rPr>
              <w:instrText xml:space="preserve"> ADDIN EN.CITE </w:instrText>
            </w:r>
            <w:r w:rsidRPr="00A20A17">
              <w:rPr>
                <w:rFonts w:ascii="Calibri" w:eastAsia="Calibri" w:hAnsi="Calibri" w:cs="Arial"/>
                <w:sz w:val="18"/>
                <w:szCs w:val="18"/>
              </w:rPr>
              <w:fldChar w:fldCharType="begin">
                <w:fldData xml:space="preserve">PEVuZE5vdGU+PENpdGU+PEF1dGhvcj5NYWNoPC9BdXRob3I+PFllYXI+MjAxOTwvWWVhcj48SURU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</w:fldData>
              </w:fldChar>
            </w:r>
            <w:r w:rsidRPr="00A20A17">
              <w:rPr>
                <w:rFonts w:ascii="Calibri" w:eastAsia="Calibri" w:hAnsi="Calibri" w:cs="Arial"/>
                <w:sz w:val="18"/>
                <w:szCs w:val="18"/>
              </w:rPr>
              <w:instrText xml:space="preserve"> ADDIN EN.CITE.DATA </w:instrText>
            </w:r>
            <w:r w:rsidRPr="00A20A17">
              <w:rPr>
                <w:rFonts w:ascii="Calibri" w:eastAsia="Calibri" w:hAnsi="Calibri" w:cs="Arial"/>
                <w:sz w:val="18"/>
                <w:szCs w:val="18"/>
              </w:rPr>
            </w:r>
            <w:r w:rsidRPr="00A20A17">
              <w:rPr>
                <w:rFonts w:ascii="Calibri" w:eastAsia="Calibri" w:hAnsi="Calibri" w:cs="Arial"/>
                <w:sz w:val="18"/>
                <w:szCs w:val="18"/>
              </w:rPr>
              <w:fldChar w:fldCharType="end"/>
            </w:r>
            <w:r w:rsidRPr="00A20A17">
              <w:rPr>
                <w:rFonts w:ascii="Calibri" w:eastAsia="Calibri" w:hAnsi="Calibri" w:cs="Arial"/>
                <w:sz w:val="18"/>
                <w:szCs w:val="18"/>
              </w:rPr>
            </w:r>
            <w:r w:rsidRPr="00A20A17">
              <w:rPr>
                <w:rFonts w:ascii="Calibri" w:eastAsia="Calibri" w:hAnsi="Calibri" w:cs="Arial"/>
                <w:sz w:val="18"/>
                <w:szCs w:val="18"/>
              </w:rPr>
              <w:fldChar w:fldCharType="separate"/>
            </w:r>
            <w:r w:rsidRPr="00A20A17">
              <w:rPr>
                <w:rFonts w:ascii="Calibri" w:eastAsia="Calibri" w:hAnsi="Calibri" w:cs="Arial"/>
                <w:noProof/>
                <w:sz w:val="18"/>
                <w:szCs w:val="18"/>
                <w:vertAlign w:val="superscript"/>
              </w:rPr>
              <w:t>23</w:t>
            </w:r>
            <w:r w:rsidRPr="00A20A17">
              <w:rPr>
                <w:rFonts w:ascii="Calibri" w:eastAsia="Calibri" w:hAnsi="Calibri" w:cs="Arial"/>
                <w:sz w:val="18"/>
                <w:szCs w:val="18"/>
              </w:rPr>
              <w:fldChar w:fldCharType="end"/>
            </w:r>
            <w:r w:rsidRPr="00A20A17">
              <w:rPr>
                <w:rFonts w:ascii="Calibri" w:eastAsia="Calibri" w:hAnsi="Calibri" w:cs="Arial"/>
                <w:sz w:val="18"/>
                <w:szCs w:val="18"/>
              </w:rPr>
              <w:t>.</w:t>
            </w:r>
          </w:p>
        </w:tc>
        <w:tc>
          <w:tcPr>
            <w:tcW w:w="0" w:type="auto"/>
            <w:vMerge/>
          </w:tcPr>
          <w:p w14:paraId="0A07D5A8" w14:textId="77777777" w:rsidR="00FE37DB" w:rsidRPr="00A20A17" w:rsidRDefault="00FE37DB" w:rsidP="00A80B48">
            <w:pPr>
              <w:spacing w:before="60" w:after="60" w:line="240" w:lineRule="auto"/>
              <w:rPr>
                <w:rFonts w:ascii="Calibri" w:eastAsia="Calibri" w:hAnsi="Calibri" w:cs="Arial"/>
                <w:sz w:val="18"/>
                <w:szCs w:val="18"/>
              </w:rPr>
            </w:pPr>
          </w:p>
        </w:tc>
      </w:tr>
      <w:tr w:rsidR="00FE37DB" w:rsidRPr="00A20A17" w14:paraId="1008A22D" w14:textId="77777777" w:rsidTr="00A80B48">
        <w:tc>
          <w:tcPr>
            <w:tcW w:w="0" w:type="auto"/>
            <w:vMerge/>
          </w:tcPr>
          <w:p w14:paraId="2B1103D2" w14:textId="77777777" w:rsidR="00FE37DB" w:rsidRPr="00A20A17" w:rsidRDefault="00FE37DB" w:rsidP="00A80B48">
            <w:pPr>
              <w:spacing w:before="60" w:after="60" w:line="240" w:lineRule="auto"/>
              <w:rPr>
                <w:rFonts w:ascii="Calibri" w:eastAsia="Calibri" w:hAnsi="Calibri" w:cs="Arial"/>
                <w:sz w:val="18"/>
                <w:szCs w:val="18"/>
              </w:rPr>
            </w:pPr>
          </w:p>
        </w:tc>
        <w:tc>
          <w:tcPr>
            <w:tcW w:w="0" w:type="auto"/>
          </w:tcPr>
          <w:p w14:paraId="46CC66CE" w14:textId="77777777" w:rsidR="00FE37DB" w:rsidRPr="00A20A17" w:rsidRDefault="00FE37DB" w:rsidP="00A80B48">
            <w:pPr>
              <w:numPr>
                <w:ilvl w:val="0"/>
                <w:numId w:val="8"/>
              </w:numPr>
              <w:spacing w:before="60" w:after="60" w:line="240" w:lineRule="auto"/>
              <w:rPr>
                <w:rFonts w:ascii="Calibri" w:eastAsia="Calibri" w:hAnsi="Calibri" w:cs="Arial"/>
                <w:sz w:val="18"/>
                <w:szCs w:val="18"/>
              </w:rPr>
            </w:pPr>
            <w:r w:rsidRPr="00A20A17">
              <w:rPr>
                <w:rFonts w:ascii="Calibri" w:eastAsia="Calibri" w:hAnsi="Calibri" w:cs="Arial"/>
                <w:sz w:val="18"/>
                <w:szCs w:val="18"/>
              </w:rPr>
              <w:t xml:space="preserve">FH diagnosis reduces LDLC by 40%, which is 80% of the NICE CG71 target </w:t>
            </w:r>
            <w:r w:rsidRPr="00A20A17">
              <w:rPr>
                <w:rFonts w:ascii="Calibri" w:eastAsia="Calibri" w:hAnsi="Calibri" w:cs="Arial"/>
                <w:sz w:val="18"/>
                <w:szCs w:val="18"/>
              </w:rPr>
              <w:fldChar w:fldCharType="begin"/>
            </w:r>
            <w:r w:rsidRPr="00A20A17">
              <w:rPr>
                <w:rFonts w:ascii="Calibri" w:eastAsia="Calibri" w:hAnsi="Calibri" w:cs="Arial"/>
                <w:sz w:val="18"/>
                <w:szCs w:val="18"/>
              </w:rPr>
              <w:instrText xml:space="preserve"> ADDIN EN.CITE &lt;EndNote&gt;&lt;Cite&gt;&lt;Author&gt;NICE&lt;/Author&gt;&lt;Year&gt;2019&lt;/Year&gt;&lt;IDText&gt;Clinical guideline 71: identification and management of familial hypercholesterolaemia&lt;/IDText&gt;&lt;DisplayText&gt;&lt;style face="superscript"&gt;6&lt;/style&gt;&lt;/DisplayText&gt;&lt;record&gt;&lt;urls&gt;&lt;related-urls&gt;&lt;url&gt;https://www.nice.org.uk/guidance/cg71&lt;/url&gt;&lt;/related-urls&gt;&lt;/urls&gt;&lt;titles&gt;&lt;title&gt;Clinical guideline 71: identification and management of familial hypercholesterolaemia&lt;/title&gt;&lt;short-title&gt;Clinical guideline 71: identification and management of familial hypercholesterolaemia&lt;/short-title&gt;&lt;/titles&gt;&lt;access-date&gt;24/05/2021&lt;/access-date&gt;&lt;contributors&gt;&lt;authors&gt;&lt;author&gt;NICE&lt;/author&gt;&lt;/authors&gt;&lt;/contributors&gt;&lt;added-date format="utc"&gt;1603453281&lt;/added-date&gt;&lt;pub-location&gt;London, Manchester&lt;/pub-location&gt;&lt;ref-type name="Report"&gt;27&lt;/ref-type&gt;&lt;dates&gt;&lt;year&gt;2019&lt;/year&gt;&lt;/dates&gt;&lt;rec-number&gt;59&lt;/rec-number&gt;&lt;publisher&gt;NICE&lt;/publisher&gt;&lt;last-updated-date format="utc"&gt;1621854827&lt;/last-updated-date&gt;&lt;/record&gt;&lt;/Cite&gt;&lt;/EndNote&gt;</w:instrText>
            </w:r>
            <w:r w:rsidRPr="00A20A17">
              <w:rPr>
                <w:rFonts w:ascii="Calibri" w:eastAsia="Calibri" w:hAnsi="Calibri" w:cs="Arial"/>
                <w:sz w:val="18"/>
                <w:szCs w:val="18"/>
              </w:rPr>
              <w:fldChar w:fldCharType="separate"/>
            </w:r>
            <w:r w:rsidRPr="00A20A17">
              <w:rPr>
                <w:rFonts w:ascii="Calibri" w:eastAsia="Calibri" w:hAnsi="Calibri" w:cs="Arial"/>
                <w:noProof/>
                <w:sz w:val="18"/>
                <w:szCs w:val="18"/>
                <w:vertAlign w:val="superscript"/>
              </w:rPr>
              <w:t>6</w:t>
            </w:r>
            <w:r w:rsidRPr="00A20A17">
              <w:rPr>
                <w:rFonts w:ascii="Calibri" w:eastAsia="Calibri" w:hAnsi="Calibri" w:cs="Arial"/>
                <w:sz w:val="18"/>
                <w:szCs w:val="18"/>
              </w:rPr>
              <w:fldChar w:fldCharType="end"/>
            </w:r>
            <w:r w:rsidRPr="00A20A17">
              <w:rPr>
                <w:rFonts w:ascii="Calibri" w:eastAsia="Calibri" w:hAnsi="Calibri" w:cs="Arial"/>
                <w:sz w:val="18"/>
                <w:szCs w:val="18"/>
              </w:rPr>
              <w:t>.</w:t>
            </w:r>
          </w:p>
        </w:tc>
        <w:tc>
          <w:tcPr>
            <w:tcW w:w="0" w:type="auto"/>
          </w:tcPr>
          <w:p w14:paraId="2A90CCAC"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To reflect discontinuation and adherence in clinical practice.</w:t>
            </w:r>
          </w:p>
        </w:tc>
      </w:tr>
      <w:tr w:rsidR="00FE37DB" w:rsidRPr="00A20A17" w14:paraId="2DD5D7AE" w14:textId="77777777" w:rsidTr="00A80B48">
        <w:tc>
          <w:tcPr>
            <w:tcW w:w="0" w:type="auto"/>
            <w:vMerge/>
          </w:tcPr>
          <w:p w14:paraId="36425AF6" w14:textId="77777777" w:rsidR="00FE37DB" w:rsidRPr="00A20A17" w:rsidRDefault="00FE37DB" w:rsidP="00A80B48">
            <w:pPr>
              <w:spacing w:before="60" w:after="60" w:line="240" w:lineRule="auto"/>
              <w:rPr>
                <w:rFonts w:ascii="Calibri" w:eastAsia="Calibri" w:hAnsi="Calibri" w:cs="Arial"/>
                <w:sz w:val="18"/>
                <w:szCs w:val="18"/>
              </w:rPr>
            </w:pPr>
          </w:p>
        </w:tc>
        <w:tc>
          <w:tcPr>
            <w:tcW w:w="0" w:type="auto"/>
            <w:shd w:val="clear" w:color="auto" w:fill="auto"/>
          </w:tcPr>
          <w:p w14:paraId="2AA85534" w14:textId="77777777" w:rsidR="00FE37DB" w:rsidRPr="00A20A17" w:rsidRDefault="00FE37DB" w:rsidP="00A80B48">
            <w:pPr>
              <w:numPr>
                <w:ilvl w:val="0"/>
                <w:numId w:val="8"/>
              </w:numPr>
              <w:spacing w:before="60" w:after="60" w:line="240" w:lineRule="auto"/>
              <w:rPr>
                <w:rFonts w:ascii="Calibri" w:eastAsia="Calibri" w:hAnsi="Calibri" w:cs="Arial"/>
                <w:sz w:val="18"/>
                <w:szCs w:val="18"/>
              </w:rPr>
            </w:pPr>
            <w:r w:rsidRPr="00A20A17">
              <w:rPr>
                <w:rFonts w:ascii="Calibri" w:eastAsia="Calibri" w:hAnsi="Calibri" w:cs="Arial"/>
                <w:sz w:val="18"/>
                <w:szCs w:val="18"/>
              </w:rPr>
              <w:t>FH diagnosis reduces LDLC depending on PT-LDLC, from 5% in those with PT-LDLC 1 mol/L to 40% in those with PT-LDLC = 8 mmol/L, in 5% increments.</w:t>
            </w:r>
          </w:p>
        </w:tc>
        <w:tc>
          <w:tcPr>
            <w:tcW w:w="0" w:type="auto"/>
          </w:tcPr>
          <w:p w14:paraId="16D96A75"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 xml:space="preserve">Individuals may be treated more or less intensively depending on their pre-treatment LDLC, which will result in different proportional reductions in LDLC due to FH diagnosis. Additionally, data from general population suggests that the proportional reduction is greater in patients with greater PT-LDLC </w:t>
            </w:r>
            <w:r w:rsidRPr="00A20A17">
              <w:rPr>
                <w:rFonts w:ascii="Calibri" w:eastAsia="Calibri" w:hAnsi="Calibri" w:cs="Arial"/>
                <w:sz w:val="18"/>
                <w:szCs w:val="18"/>
              </w:rPr>
              <w:fldChar w:fldCharType="begin"/>
            </w:r>
            <w:r w:rsidRPr="00A20A17">
              <w:rPr>
                <w:rFonts w:ascii="Calibri" w:eastAsia="Calibri" w:hAnsi="Calibri" w:cs="Arial"/>
                <w:sz w:val="18"/>
                <w:szCs w:val="18"/>
              </w:rPr>
              <w:instrText xml:space="preserve"> ADDIN EN.CITE &lt;EndNote&gt;&lt;Cite&gt;&lt;Author&gt;Bacquer&lt;/Author&gt;&lt;Year&gt;2020&lt;/Year&gt;&lt;IDText&gt;Percentage low-density lipoprotein-cholesterol response to a given statin dose is not fixed across the pre-treatment range: Real world evidence from clinical practice: Data from the ESC-EORP EUROASPIRE V Study&lt;/IDText&gt;&lt;DisplayText&gt;&lt;style face="superscript"&gt;24&lt;/style&gt;&lt;/DisplayText&gt;&lt;record&gt;&lt;dates&gt;&lt;pub-dates&gt;&lt;date&gt;10&lt;/date&gt;&lt;/pub-dates&gt;&lt;year&gt;2020&lt;/year&gt;&lt;/dates&gt;&lt;keywords&gt;&lt;keyword&gt;Atherosclerotic cardiovascular disease&lt;/keyword&gt;&lt;keyword&gt;familial hypercholesterolaemia&lt;/keyword&gt;&lt;keyword&gt;low-density lipoprotein-cholesterol&lt;/keyword&gt;&lt;keyword&gt;treatment target&lt;/keyword&gt;&lt;/keywords&gt;&lt;urls&gt;&lt;related-urls&gt;&lt;url&gt;https://www.ncbi.nlm.nih.gov/pubmed/31500460&lt;/url&gt;&lt;/related-urls&gt;&lt;/urls&gt;&lt;isbn&gt;2047-4881&lt;/isbn&gt;&lt;titles&gt;&lt;title&gt;Percentage low-density lipoprotein-cholesterol response to a given statin dose is not fixed across the pre-treatment range: Real world evidence from clinical practice: Data from the ESC-EORP EUROASPIRE V Study&lt;/title&gt;&lt;secondary-title&gt;Eur J Prev Cardiol&lt;/secondary-title&gt;&lt;/titles&gt;&lt;pages&gt;1630-1636&lt;/pages&gt;&lt;number&gt;15&lt;/number&gt;&lt;contributors&gt;&lt;authors&gt;&lt;author&gt;Bacquer, D.&lt;/author&gt;&lt;author&gt;Smedt, D.&lt;/author&gt;&lt;author&gt;Reiner, Ž&lt;/author&gt;&lt;author&gt;Tokgözoğlu, L.&lt;/author&gt;&lt;author&gt;Clays, E.&lt;/author&gt;&lt;author&gt;Kotseva, K.&lt;/author&gt;&lt;author&gt;Rydén, L.&lt;/author&gt;&lt;author&gt;Wood, D.&lt;/author&gt;&lt;author&gt;Backer, G.&lt;/author&gt;&lt;/authors&gt;&lt;/contributors&gt;&lt;edition&gt;2019/09/09&lt;/edition&gt;&lt;language&gt;eng&lt;/language&gt;&lt;added-date format="utc"&gt;1621872839&lt;/added-date&gt;&lt;ref-type name="Journal Article"&gt;17&lt;/ref-type&gt;&lt;rec-number&gt;226&lt;/rec-number&gt;&lt;last-updated-date format="utc"&gt;1621872839&lt;/last-updated-date&gt;&lt;accession-num&gt;31500460&lt;/accession-num&gt;&lt;electronic-resource-num&gt;10.1177/2047487319874898&lt;/electronic-resource-num&gt;&lt;volume&gt;27&lt;/volume&gt;&lt;/record&gt;&lt;/Cite&gt;&lt;/EndNote&gt;</w:instrText>
            </w:r>
            <w:r w:rsidRPr="00A20A17">
              <w:rPr>
                <w:rFonts w:ascii="Calibri" w:eastAsia="Calibri" w:hAnsi="Calibri" w:cs="Arial"/>
                <w:sz w:val="18"/>
                <w:szCs w:val="18"/>
              </w:rPr>
              <w:fldChar w:fldCharType="separate"/>
            </w:r>
            <w:r w:rsidRPr="00A20A17">
              <w:rPr>
                <w:rFonts w:ascii="Calibri" w:eastAsia="Calibri" w:hAnsi="Calibri" w:cs="Arial"/>
                <w:noProof/>
                <w:sz w:val="18"/>
                <w:szCs w:val="18"/>
                <w:vertAlign w:val="superscript"/>
              </w:rPr>
              <w:t>24</w:t>
            </w:r>
            <w:r w:rsidRPr="00A20A17">
              <w:rPr>
                <w:rFonts w:ascii="Calibri" w:eastAsia="Calibri" w:hAnsi="Calibri" w:cs="Arial"/>
                <w:sz w:val="18"/>
                <w:szCs w:val="18"/>
              </w:rPr>
              <w:fldChar w:fldCharType="end"/>
            </w:r>
            <w:r w:rsidRPr="00A20A17">
              <w:rPr>
                <w:rFonts w:ascii="Calibri" w:eastAsia="Calibri" w:hAnsi="Calibri" w:cs="Arial"/>
                <w:sz w:val="18"/>
                <w:szCs w:val="18"/>
              </w:rPr>
              <w:t>.</w:t>
            </w:r>
          </w:p>
        </w:tc>
      </w:tr>
      <w:tr w:rsidR="00FE37DB" w:rsidRPr="00A20A17" w14:paraId="31A4F52F" w14:textId="77777777" w:rsidTr="00A80B48">
        <w:tc>
          <w:tcPr>
            <w:tcW w:w="0" w:type="auto"/>
          </w:tcPr>
          <w:p w14:paraId="7FC00B7E" w14:textId="77777777" w:rsidR="00FE37DB" w:rsidRPr="00A20A17" w:rsidRDefault="00FE37DB" w:rsidP="00A80B48">
            <w:pPr>
              <w:spacing w:before="60" w:after="60" w:line="240" w:lineRule="auto"/>
              <w:rPr>
                <w:rFonts w:ascii="Calibri" w:eastAsia="Calibri" w:hAnsi="Calibri" w:cs="Arial"/>
                <w:b/>
                <w:bCs/>
                <w:sz w:val="18"/>
                <w:szCs w:val="18"/>
              </w:rPr>
            </w:pPr>
            <w:r w:rsidRPr="00A20A17">
              <w:rPr>
                <w:rFonts w:ascii="Calibri" w:eastAsia="Calibri" w:hAnsi="Calibri" w:cs="Arial"/>
                <w:b/>
                <w:bCs/>
                <w:sz w:val="18"/>
                <w:szCs w:val="18"/>
              </w:rPr>
              <w:t xml:space="preserve">Lower LDLC reduces the risk of non-CV death as estimated by the 2019 CTTC meta-analysis </w:t>
            </w:r>
            <w:r w:rsidRPr="00A20A17">
              <w:rPr>
                <w:rFonts w:ascii="Calibri" w:eastAsia="Calibri" w:hAnsi="Calibri" w:cs="Arial"/>
                <w:sz w:val="18"/>
                <w:szCs w:val="18"/>
              </w:rPr>
              <w:t xml:space="preserve"> </w:t>
            </w:r>
            <w:r w:rsidRPr="00A20A17">
              <w:rPr>
                <w:rFonts w:ascii="Calibri" w:eastAsia="Calibri" w:hAnsi="Calibri" w:cs="Arial"/>
                <w:sz w:val="18"/>
                <w:szCs w:val="18"/>
              </w:rPr>
              <w:fldChar w:fldCharType="begin"/>
            </w:r>
            <w:r w:rsidRPr="00A20A17">
              <w:rPr>
                <w:rFonts w:ascii="Calibri" w:eastAsia="Calibri" w:hAnsi="Calibri" w:cs="Arial"/>
                <w:sz w:val="18"/>
                <w:szCs w:val="18"/>
              </w:rPr>
              <w:instrText xml:space="preserve"> ADDIN EN.CITE &lt;EndNote&gt;&lt;Cite&gt;&lt;Author&gt;Cholesterol&lt;/Author&gt;&lt;Year&gt;2019&lt;/Year&gt;&lt;IDText&gt;Efficacy and safety of statin therapy in older people: a meta-analysis of individual participant data from 28 randomised controlled trials&lt;/IDText&gt;&lt;DisplayText&gt;&lt;style face="superscript"&gt;16&lt;/style&gt;&lt;/DisplayText&gt;&lt;record&gt;&lt;dates&gt;&lt;pub-dates&gt;&lt;date&gt;02&lt;/date&gt;&lt;/pub-dates&gt;&lt;year&gt;2019&lt;/year&gt;&lt;/dates&gt;&lt;keywords&gt;&lt;keyword&gt;Age Factors&lt;/keyword&gt;&lt;keyword&gt;Aged&lt;/keyword&gt;&lt;keyword&gt;Humans&lt;/keyword&gt;&lt;keyword&gt;Hydroxymethylglutaryl-CoA Reductase Inhibitors&lt;/keyword&gt;&lt;keyword&gt;Randomized Controlled Trials as Topic&lt;/keyword&gt;&lt;/keywords&gt;&lt;urls&gt;&lt;related-urls&gt;&lt;url&gt;https://www.ncbi.nlm.nih.gov/pubmed/30712900&lt;/url&gt;&lt;/related-urls&gt;&lt;/urls&gt;&lt;isbn&gt;1474-547X&lt;/isbn&gt;&lt;custom2&gt;PMC6429627&lt;/custom2&gt;&lt;titles&gt;&lt;title&gt;Efficacy and safety of statin therapy in older people: a meta-analysis of individual participant data from 28 randomised controlled trials&lt;/title&gt;&lt;secondary-title&gt;Lancet&lt;/secondary-title&gt;&lt;/titles&gt;&lt;pages&gt;407-415&lt;/pages&gt;&lt;number&gt;10170&lt;/number&gt;&lt;contributors&gt;&lt;authors&gt;&lt;author&gt;Cholesterol Treatment Trialists&amp;apos; Collaboration&lt;/author&gt;&lt;/authors&gt;&lt;/contributors&gt;&lt;language&gt;eng&lt;/language&gt;&lt;added-date format="utc"&gt;1620903413&lt;/added-date&gt;&lt;ref-type name="Journal Article"&gt;17&lt;/ref-type&gt;&lt;rec-number&gt;149&lt;/rec-number&gt;&lt;last-updated-date format="utc"&gt;1620903413&lt;/last-updated-date&gt;&lt;accession-num&gt;30712900&lt;/accession-num&gt;&lt;electronic-resource-num&gt;10.1016/S0140-6736(18)31942-1&lt;/electronic-resource-num&gt;&lt;volume&gt;393&lt;/volume&gt;&lt;/record&gt;&lt;/Cite&gt;&lt;/EndNote&gt;</w:instrText>
            </w:r>
            <w:r w:rsidRPr="00A20A17">
              <w:rPr>
                <w:rFonts w:ascii="Calibri" w:eastAsia="Calibri" w:hAnsi="Calibri" w:cs="Arial"/>
                <w:sz w:val="18"/>
                <w:szCs w:val="18"/>
              </w:rPr>
              <w:fldChar w:fldCharType="separate"/>
            </w:r>
            <w:r w:rsidRPr="00A20A17">
              <w:rPr>
                <w:rFonts w:ascii="Calibri" w:eastAsia="Calibri" w:hAnsi="Calibri" w:cs="Arial"/>
                <w:noProof/>
                <w:sz w:val="18"/>
                <w:szCs w:val="18"/>
                <w:vertAlign w:val="superscript"/>
              </w:rPr>
              <w:t>16</w:t>
            </w:r>
            <w:r w:rsidRPr="00A20A17">
              <w:rPr>
                <w:rFonts w:ascii="Calibri" w:eastAsia="Calibri" w:hAnsi="Calibri" w:cs="Arial"/>
                <w:sz w:val="18"/>
                <w:szCs w:val="18"/>
              </w:rPr>
              <w:fldChar w:fldCharType="end"/>
            </w:r>
          </w:p>
        </w:tc>
        <w:tc>
          <w:tcPr>
            <w:tcW w:w="0" w:type="auto"/>
          </w:tcPr>
          <w:p w14:paraId="0585E673" w14:textId="77777777" w:rsidR="00FE37DB" w:rsidRPr="00A20A17" w:rsidRDefault="00FE37DB" w:rsidP="00A80B48">
            <w:pPr>
              <w:numPr>
                <w:ilvl w:val="0"/>
                <w:numId w:val="8"/>
              </w:numPr>
              <w:spacing w:before="60" w:after="60" w:line="240" w:lineRule="auto"/>
              <w:rPr>
                <w:rFonts w:ascii="Calibri" w:eastAsia="Calibri" w:hAnsi="Calibri" w:cs="Arial"/>
                <w:sz w:val="18"/>
                <w:szCs w:val="18"/>
              </w:rPr>
            </w:pPr>
            <w:r w:rsidRPr="00A20A17">
              <w:rPr>
                <w:rFonts w:ascii="Calibri" w:eastAsia="Calibri" w:hAnsi="Calibri" w:cs="Arial"/>
                <w:sz w:val="18"/>
                <w:szCs w:val="18"/>
              </w:rPr>
              <w:t>Lower LDLC does not affect the risk of non-CV death.</w:t>
            </w:r>
          </w:p>
        </w:tc>
        <w:tc>
          <w:tcPr>
            <w:tcW w:w="0" w:type="auto"/>
          </w:tcPr>
          <w:p w14:paraId="7CE67F0C"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 xml:space="preserve">The CTTC estimates are not statistically significant </w:t>
            </w:r>
            <w:r w:rsidRPr="00A20A17">
              <w:rPr>
                <w:rFonts w:ascii="Calibri" w:eastAsia="Calibri" w:hAnsi="Calibri" w:cs="Arial"/>
                <w:sz w:val="18"/>
                <w:szCs w:val="18"/>
              </w:rPr>
              <w:fldChar w:fldCharType="begin"/>
            </w:r>
            <w:r w:rsidRPr="00A20A17">
              <w:rPr>
                <w:rFonts w:ascii="Calibri" w:eastAsia="Calibri" w:hAnsi="Calibri" w:cs="Arial"/>
                <w:sz w:val="18"/>
                <w:szCs w:val="18"/>
              </w:rPr>
              <w:instrText xml:space="preserve"> ADDIN EN.CITE &lt;EndNote&gt;&lt;Cite&gt;&lt;Author&gt;Cholesterol&lt;/Author&gt;&lt;Year&gt;2019&lt;/Year&gt;&lt;IDText&gt;Efficacy and safety of statin therapy in older people: a meta-analysis of individual participant data from 28 randomised controlled trials&lt;/IDText&gt;&lt;DisplayText&gt;&lt;style face="superscript"&gt;16&lt;/style&gt;&lt;/DisplayText&gt;&lt;record&gt;&lt;dates&gt;&lt;pub-dates&gt;&lt;date&gt;02&lt;/date&gt;&lt;/pub-dates&gt;&lt;year&gt;2019&lt;/year&gt;&lt;/dates&gt;&lt;keywords&gt;&lt;keyword&gt;Age Factors&lt;/keyword&gt;&lt;keyword&gt;Aged&lt;/keyword&gt;&lt;keyword&gt;Humans&lt;/keyword&gt;&lt;keyword&gt;Hydroxymethylglutaryl-CoA Reductase Inhibitors&lt;/keyword&gt;&lt;keyword&gt;Randomized Controlled Trials as Topic&lt;/keyword&gt;&lt;/keywords&gt;&lt;urls&gt;&lt;related-urls&gt;&lt;url&gt;https://www.ncbi.nlm.nih.gov/pubmed/30712900&lt;/url&gt;&lt;/related-urls&gt;&lt;/urls&gt;&lt;isbn&gt;1474-547X&lt;/isbn&gt;&lt;custom2&gt;PMC6429627&lt;/custom2&gt;&lt;titles&gt;&lt;title&gt;Efficacy and safety of statin therapy in older people: a meta-analysis of individual participant data from 28 randomised controlled trials&lt;/title&gt;&lt;secondary-title&gt;Lancet&lt;/secondary-title&gt;&lt;/titles&gt;&lt;pages&gt;407-415&lt;/pages&gt;&lt;number&gt;10170&lt;/number&gt;&lt;contributors&gt;&lt;authors&gt;&lt;author&gt;Cholesterol Treatment Trialists&amp;apos; Collaboration&lt;/author&gt;&lt;/authors&gt;&lt;/contributors&gt;&lt;language&gt;eng&lt;/language&gt;&lt;added-date format="utc"&gt;1620903413&lt;/added-date&gt;&lt;ref-type name="Journal Article"&gt;17&lt;/ref-type&gt;&lt;rec-number&gt;149&lt;/rec-number&gt;&lt;last-updated-date format="utc"&gt;1620903413&lt;/last-updated-date&gt;&lt;accession-num&gt;30712900&lt;/accession-num&gt;&lt;electronic-resource-num&gt;10.1016/S0140-6736(18)31942-1&lt;/electronic-resource-num&gt;&lt;volume&gt;393&lt;/volume&gt;&lt;/record&gt;&lt;/Cite&gt;&lt;/EndNote&gt;</w:instrText>
            </w:r>
            <w:r w:rsidRPr="00A20A17">
              <w:rPr>
                <w:rFonts w:ascii="Calibri" w:eastAsia="Calibri" w:hAnsi="Calibri" w:cs="Arial"/>
                <w:sz w:val="18"/>
                <w:szCs w:val="18"/>
              </w:rPr>
              <w:fldChar w:fldCharType="separate"/>
            </w:r>
            <w:r w:rsidRPr="00A20A17">
              <w:rPr>
                <w:rFonts w:ascii="Calibri" w:eastAsia="Calibri" w:hAnsi="Calibri" w:cs="Arial"/>
                <w:noProof/>
                <w:sz w:val="18"/>
                <w:szCs w:val="18"/>
                <w:vertAlign w:val="superscript"/>
              </w:rPr>
              <w:t>16</w:t>
            </w:r>
            <w:r w:rsidRPr="00A20A17">
              <w:rPr>
                <w:rFonts w:ascii="Calibri" w:eastAsia="Calibri" w:hAnsi="Calibri" w:cs="Arial"/>
                <w:sz w:val="18"/>
                <w:szCs w:val="18"/>
              </w:rPr>
              <w:fldChar w:fldCharType="end"/>
            </w:r>
            <w:r w:rsidRPr="00A20A17">
              <w:rPr>
                <w:rFonts w:ascii="Calibri" w:eastAsia="Calibri" w:hAnsi="Calibri" w:cs="Arial"/>
                <w:sz w:val="18"/>
                <w:szCs w:val="18"/>
              </w:rPr>
              <w:t>, hence are uncertain, and may not generalise to the FH population.</w:t>
            </w:r>
          </w:p>
        </w:tc>
      </w:tr>
      <w:tr w:rsidR="00FE37DB" w:rsidRPr="00A20A17" w14:paraId="36168C6B" w14:textId="77777777" w:rsidTr="00A80B48">
        <w:tc>
          <w:tcPr>
            <w:tcW w:w="0" w:type="auto"/>
            <w:vMerge w:val="restart"/>
          </w:tcPr>
          <w:p w14:paraId="205ECF70" w14:textId="77777777" w:rsidR="00FE37DB" w:rsidRPr="00A20A17" w:rsidRDefault="00FE37DB" w:rsidP="00A80B48">
            <w:pPr>
              <w:spacing w:before="60" w:after="60" w:line="240" w:lineRule="auto"/>
              <w:rPr>
                <w:rFonts w:ascii="Calibri" w:eastAsia="Calibri" w:hAnsi="Calibri" w:cs="Arial"/>
                <w:b/>
                <w:bCs/>
                <w:sz w:val="18"/>
                <w:szCs w:val="18"/>
              </w:rPr>
            </w:pPr>
            <w:r w:rsidRPr="00A20A17">
              <w:rPr>
                <w:rFonts w:ascii="Calibri" w:eastAsia="Calibri" w:hAnsi="Calibri" w:cs="Arial"/>
                <w:b/>
                <w:bCs/>
                <w:sz w:val="18"/>
                <w:szCs w:val="18"/>
              </w:rPr>
              <w:t>Individuals have the health benefits and costs of FH diagnosis and treatment, irrespective of their pre-treatment LDLC.</w:t>
            </w:r>
          </w:p>
        </w:tc>
        <w:tc>
          <w:tcPr>
            <w:tcW w:w="0" w:type="auto"/>
          </w:tcPr>
          <w:p w14:paraId="7048BA7A" w14:textId="77777777" w:rsidR="00FE37DB" w:rsidRPr="00A20A17" w:rsidRDefault="00FE37DB" w:rsidP="00A80B48">
            <w:pPr>
              <w:numPr>
                <w:ilvl w:val="0"/>
                <w:numId w:val="8"/>
              </w:numPr>
              <w:spacing w:before="60" w:after="60" w:line="240" w:lineRule="auto"/>
              <w:rPr>
                <w:rFonts w:ascii="Calibri" w:eastAsia="Calibri" w:hAnsi="Calibri" w:cs="Arial"/>
                <w:sz w:val="18"/>
                <w:szCs w:val="18"/>
              </w:rPr>
            </w:pPr>
            <w:r w:rsidRPr="00A20A17">
              <w:rPr>
                <w:rFonts w:ascii="Calibri" w:eastAsia="Calibri" w:hAnsi="Calibri" w:cs="Arial"/>
                <w:sz w:val="18"/>
                <w:szCs w:val="18"/>
              </w:rPr>
              <w:t xml:space="preserve">Diagnosed individuals have no benefits and no costs of treatment if their pre-treatment LDLC &lt; EAS target of 1.8 mmol/L in adults in primary prevention and 1.4 mmol/L in adults in secondary prevention </w:t>
            </w:r>
            <w:r w:rsidRPr="00A20A17">
              <w:rPr>
                <w:rFonts w:ascii="Calibri" w:eastAsia="Calibri" w:hAnsi="Calibri" w:cs="Arial"/>
                <w:sz w:val="18"/>
                <w:szCs w:val="18"/>
              </w:rPr>
              <w:fldChar w:fldCharType="begin">
                <w:fldData xml:space="preserve">PEVuZE5vdGU+PENpdGU+PEF1dGhvcj5NYWNoPC9BdXRob3I+PFllYXI+MjAxOTwvWWVhcj48SURU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</w:fldData>
              </w:fldChar>
            </w:r>
            <w:r w:rsidRPr="00A20A17">
              <w:rPr>
                <w:rFonts w:ascii="Calibri" w:eastAsia="Calibri" w:hAnsi="Calibri" w:cs="Arial"/>
                <w:sz w:val="18"/>
                <w:szCs w:val="18"/>
              </w:rPr>
              <w:instrText xml:space="preserve"> ADDIN EN.CITE </w:instrText>
            </w:r>
            <w:r w:rsidRPr="00A20A17">
              <w:rPr>
                <w:rFonts w:ascii="Calibri" w:eastAsia="Calibri" w:hAnsi="Calibri" w:cs="Arial"/>
                <w:sz w:val="18"/>
                <w:szCs w:val="18"/>
              </w:rPr>
              <w:fldChar w:fldCharType="begin">
                <w:fldData xml:space="preserve">PEVuZE5vdGU+PENpdGU+PEF1dGhvcj5NYWNoPC9BdXRob3I+PFllYXI+MjAxOTwvWWVhcj48SURU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</w:fldData>
              </w:fldChar>
            </w:r>
            <w:r w:rsidRPr="00A20A17">
              <w:rPr>
                <w:rFonts w:ascii="Calibri" w:eastAsia="Calibri" w:hAnsi="Calibri" w:cs="Arial"/>
                <w:sz w:val="18"/>
                <w:szCs w:val="18"/>
              </w:rPr>
              <w:instrText xml:space="preserve"> ADDIN EN.CITE.DATA </w:instrText>
            </w:r>
            <w:r w:rsidRPr="00A20A17">
              <w:rPr>
                <w:rFonts w:ascii="Calibri" w:eastAsia="Calibri" w:hAnsi="Calibri" w:cs="Arial"/>
                <w:sz w:val="18"/>
                <w:szCs w:val="18"/>
              </w:rPr>
            </w:r>
            <w:r w:rsidRPr="00A20A17">
              <w:rPr>
                <w:rFonts w:ascii="Calibri" w:eastAsia="Calibri" w:hAnsi="Calibri" w:cs="Arial"/>
                <w:sz w:val="18"/>
                <w:szCs w:val="18"/>
              </w:rPr>
              <w:fldChar w:fldCharType="end"/>
            </w:r>
            <w:r w:rsidRPr="00A20A17">
              <w:rPr>
                <w:rFonts w:ascii="Calibri" w:eastAsia="Calibri" w:hAnsi="Calibri" w:cs="Arial"/>
                <w:sz w:val="18"/>
                <w:szCs w:val="18"/>
              </w:rPr>
            </w:r>
            <w:r w:rsidRPr="00A20A17">
              <w:rPr>
                <w:rFonts w:ascii="Calibri" w:eastAsia="Calibri" w:hAnsi="Calibri" w:cs="Arial"/>
                <w:sz w:val="18"/>
                <w:szCs w:val="18"/>
              </w:rPr>
              <w:fldChar w:fldCharType="separate"/>
            </w:r>
            <w:r w:rsidRPr="00A20A17">
              <w:rPr>
                <w:rFonts w:ascii="Calibri" w:eastAsia="Calibri" w:hAnsi="Calibri" w:cs="Arial"/>
                <w:noProof/>
                <w:sz w:val="18"/>
                <w:szCs w:val="18"/>
                <w:vertAlign w:val="superscript"/>
              </w:rPr>
              <w:t>23</w:t>
            </w:r>
            <w:r w:rsidRPr="00A20A17">
              <w:rPr>
                <w:rFonts w:ascii="Calibri" w:eastAsia="Calibri" w:hAnsi="Calibri" w:cs="Arial"/>
                <w:sz w:val="18"/>
                <w:szCs w:val="18"/>
              </w:rPr>
              <w:fldChar w:fldCharType="end"/>
            </w:r>
            <w:r w:rsidRPr="00A20A17">
              <w:rPr>
                <w:rFonts w:ascii="Calibri" w:eastAsia="Calibri" w:hAnsi="Calibri" w:cs="Arial"/>
                <w:sz w:val="18"/>
                <w:szCs w:val="18"/>
              </w:rPr>
              <w:t>.</w:t>
            </w:r>
          </w:p>
        </w:tc>
        <w:tc>
          <w:tcPr>
            <w:tcW w:w="0" w:type="auto"/>
            <w:vMerge w:val="restart"/>
          </w:tcPr>
          <w:p w14:paraId="3126BC67"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Individuals with low pre-treatment LDLC may not be started on LLT, but the treatment thresholds in clinical practice are unclear.</w:t>
            </w:r>
          </w:p>
        </w:tc>
      </w:tr>
      <w:tr w:rsidR="00FE37DB" w:rsidRPr="00A20A17" w14:paraId="49EE720A" w14:textId="77777777" w:rsidTr="00A80B48">
        <w:tc>
          <w:tcPr>
            <w:tcW w:w="0" w:type="auto"/>
            <w:vMerge/>
          </w:tcPr>
          <w:p w14:paraId="1A15A5E9" w14:textId="77777777" w:rsidR="00FE37DB" w:rsidRPr="00A20A17" w:rsidRDefault="00FE37DB" w:rsidP="00A80B48">
            <w:pPr>
              <w:spacing w:before="60" w:after="60" w:line="240" w:lineRule="auto"/>
              <w:rPr>
                <w:rFonts w:ascii="Calibri" w:eastAsia="Calibri" w:hAnsi="Calibri" w:cs="Arial"/>
                <w:sz w:val="18"/>
                <w:szCs w:val="18"/>
              </w:rPr>
            </w:pPr>
          </w:p>
        </w:tc>
        <w:tc>
          <w:tcPr>
            <w:tcW w:w="0" w:type="auto"/>
          </w:tcPr>
          <w:p w14:paraId="4B8AA898" w14:textId="77777777" w:rsidR="00FE37DB" w:rsidRPr="00A20A17" w:rsidRDefault="00FE37DB" w:rsidP="00A80B48">
            <w:pPr>
              <w:numPr>
                <w:ilvl w:val="0"/>
                <w:numId w:val="8"/>
              </w:numPr>
              <w:spacing w:before="60" w:after="60" w:line="240" w:lineRule="auto"/>
              <w:rPr>
                <w:rFonts w:ascii="Calibri" w:eastAsia="Calibri" w:hAnsi="Calibri" w:cs="Arial"/>
                <w:sz w:val="18"/>
                <w:szCs w:val="18"/>
              </w:rPr>
            </w:pPr>
            <w:r w:rsidRPr="00A20A17">
              <w:rPr>
                <w:rFonts w:ascii="Calibri" w:eastAsia="Calibri" w:hAnsi="Calibri" w:cs="Arial"/>
                <w:sz w:val="18"/>
                <w:szCs w:val="18"/>
              </w:rPr>
              <w:t>Diagnosed individuals have no benefits and no costs of treatment if their pre-treatment LDLC &lt; 3 mmol/L for primary prevention and &lt; 2 mmol/L for secondary prevention.</w:t>
            </w:r>
          </w:p>
        </w:tc>
        <w:tc>
          <w:tcPr>
            <w:tcW w:w="0" w:type="auto"/>
            <w:vMerge/>
          </w:tcPr>
          <w:p w14:paraId="2172BDF7" w14:textId="77777777" w:rsidR="00FE37DB" w:rsidRPr="00A20A17" w:rsidRDefault="00FE37DB" w:rsidP="00A80B48">
            <w:pPr>
              <w:spacing w:before="60" w:after="60" w:line="240" w:lineRule="auto"/>
              <w:rPr>
                <w:rFonts w:ascii="Calibri" w:eastAsia="Calibri" w:hAnsi="Calibri" w:cs="Arial"/>
                <w:sz w:val="18"/>
                <w:szCs w:val="18"/>
              </w:rPr>
            </w:pPr>
          </w:p>
        </w:tc>
      </w:tr>
      <w:tr w:rsidR="00FE37DB" w:rsidRPr="00A20A17" w14:paraId="274E66CA" w14:textId="77777777" w:rsidTr="00A80B48">
        <w:tc>
          <w:tcPr>
            <w:tcW w:w="0" w:type="auto"/>
            <w:vMerge w:val="restart"/>
          </w:tcPr>
          <w:p w14:paraId="5B99C425" w14:textId="77777777" w:rsidR="00FE37DB" w:rsidRPr="00A20A17" w:rsidRDefault="00FE37DB" w:rsidP="00A80B48">
            <w:pPr>
              <w:spacing w:before="60" w:after="60" w:line="240" w:lineRule="auto"/>
              <w:rPr>
                <w:rFonts w:ascii="Calibri" w:eastAsia="Calibri" w:hAnsi="Calibri" w:cs="Arial"/>
                <w:b/>
                <w:bCs/>
                <w:sz w:val="18"/>
                <w:szCs w:val="18"/>
              </w:rPr>
            </w:pPr>
            <w:r w:rsidRPr="00A20A17">
              <w:rPr>
                <w:rFonts w:ascii="Calibri" w:eastAsia="Calibri" w:hAnsi="Calibri" w:cs="Arial"/>
                <w:b/>
                <w:bCs/>
                <w:sz w:val="18"/>
                <w:szCs w:val="18"/>
              </w:rPr>
              <w:t>LDLC burden included as estimated by the EAS relationship; that is, the effect of LDLC on CV risk increases over time.</w:t>
            </w:r>
          </w:p>
        </w:tc>
        <w:tc>
          <w:tcPr>
            <w:tcW w:w="0" w:type="auto"/>
          </w:tcPr>
          <w:p w14:paraId="3506A977" w14:textId="77777777" w:rsidR="00FE37DB" w:rsidRPr="00A20A17" w:rsidRDefault="00FE37DB" w:rsidP="00A80B48">
            <w:pPr>
              <w:numPr>
                <w:ilvl w:val="0"/>
                <w:numId w:val="8"/>
              </w:numPr>
              <w:spacing w:before="60" w:after="60" w:line="240" w:lineRule="auto"/>
              <w:rPr>
                <w:rFonts w:ascii="Calibri" w:eastAsia="Calibri" w:hAnsi="Calibri" w:cs="Arial"/>
                <w:sz w:val="18"/>
                <w:szCs w:val="18"/>
              </w:rPr>
            </w:pPr>
            <w:r w:rsidRPr="00A20A17">
              <w:rPr>
                <w:rFonts w:ascii="Calibri" w:eastAsia="Calibri" w:hAnsi="Calibri" w:cs="Arial"/>
                <w:sz w:val="18"/>
                <w:szCs w:val="18"/>
              </w:rPr>
              <w:t xml:space="preserve">LDLC burden is not included, and the effect of LDLC on CV risk is obtained from the relationship estimated by the CTTC meta-analysis  </w:t>
            </w:r>
            <w:r w:rsidRPr="00A20A17">
              <w:rPr>
                <w:rFonts w:ascii="Calibri" w:eastAsia="Calibri" w:hAnsi="Calibri" w:cs="Arial"/>
                <w:sz w:val="18"/>
                <w:szCs w:val="18"/>
              </w:rPr>
              <w:fldChar w:fldCharType="begin"/>
            </w:r>
            <w:r w:rsidRPr="00A20A17">
              <w:rPr>
                <w:rFonts w:ascii="Calibri" w:eastAsia="Calibri" w:hAnsi="Calibri" w:cs="Arial"/>
                <w:sz w:val="18"/>
                <w:szCs w:val="18"/>
              </w:rPr>
              <w:instrText xml:space="preserve"> ADDIN EN.CITE &lt;EndNote&gt;&lt;Cite&gt;&lt;Author&gt;Cholesterol&lt;/Author&gt;&lt;Year&gt;2019&lt;/Year&gt;&lt;IDText&gt;Efficacy and safety of statin therapy in older people: a meta-analysis of individual participant data from 28 randomised controlled trials&lt;/IDText&gt;&lt;DisplayText&gt;&lt;style face="superscript"&gt;16&lt;/style&gt;&lt;/DisplayText&gt;&lt;record&gt;&lt;dates&gt;&lt;pub-dates&gt;&lt;date&gt;02&lt;/date&gt;&lt;/pub-dates&gt;&lt;year&gt;2019&lt;/year&gt;&lt;/dates&gt;&lt;keywords&gt;&lt;keyword&gt;Age Factors&lt;/keyword&gt;&lt;keyword&gt;Aged&lt;/keyword&gt;&lt;keyword&gt;Humans&lt;/keyword&gt;&lt;keyword&gt;Hydroxymethylglutaryl-CoA Reductase Inhibitors&lt;/keyword&gt;&lt;keyword&gt;Randomized Controlled Trials as Topic&lt;/keyword&gt;&lt;/keywords&gt;&lt;urls&gt;&lt;related-urls&gt;&lt;url&gt;https://www.ncbi.nlm.nih.gov/pubmed/30712900&lt;/url&gt;&lt;/related-urls&gt;&lt;/urls&gt;&lt;isbn&gt;1474-547X&lt;/isbn&gt;&lt;custom2&gt;PMC6429627&lt;/custom2&gt;&lt;titles&gt;&lt;title&gt;Efficacy and safety of statin therapy in older people: a meta-analysis of individual participant data from 28 randomised controlled trials&lt;/title&gt;&lt;secondary-title&gt;Lancet&lt;/secondary-title&gt;&lt;/titles&gt;&lt;pages&gt;407-415&lt;/pages&gt;&lt;number&gt;10170&lt;/number&gt;&lt;contributors&gt;&lt;authors&gt;&lt;author&gt;Cholesterol Treatment Trialists&amp;apos; Collaboration&lt;/author&gt;&lt;/authors&gt;&lt;/contributors&gt;&lt;language&gt;eng&lt;/language&gt;&lt;added-date format="utc"&gt;1620903413&lt;/added-date&gt;&lt;ref-type name="Journal Article"&gt;17&lt;/ref-type&gt;&lt;rec-number&gt;149&lt;/rec-number&gt;&lt;last-updated-date format="utc"&gt;1620903413&lt;/last-updated-date&gt;&lt;accession-num&gt;30712900&lt;/accession-num&gt;&lt;electronic-resource-num&gt;10.1016/S0140-6736(18)31942-1&lt;/electronic-resource-num&gt;&lt;volume&gt;393&lt;/volume&gt;&lt;/record&gt;&lt;/Cite&gt;&lt;/EndNote&gt;</w:instrText>
            </w:r>
            <w:r w:rsidRPr="00A20A17">
              <w:rPr>
                <w:rFonts w:ascii="Calibri" w:eastAsia="Calibri" w:hAnsi="Calibri" w:cs="Arial"/>
                <w:sz w:val="18"/>
                <w:szCs w:val="18"/>
              </w:rPr>
              <w:fldChar w:fldCharType="separate"/>
            </w:r>
            <w:r w:rsidRPr="00A20A17">
              <w:rPr>
                <w:rFonts w:ascii="Calibri" w:eastAsia="Calibri" w:hAnsi="Calibri" w:cs="Arial"/>
                <w:noProof/>
                <w:sz w:val="18"/>
                <w:szCs w:val="18"/>
                <w:vertAlign w:val="superscript"/>
              </w:rPr>
              <w:t>16</w:t>
            </w:r>
            <w:r w:rsidRPr="00A20A17">
              <w:rPr>
                <w:rFonts w:ascii="Calibri" w:eastAsia="Calibri" w:hAnsi="Calibri" w:cs="Arial"/>
                <w:sz w:val="18"/>
                <w:szCs w:val="18"/>
              </w:rPr>
              <w:fldChar w:fldCharType="end"/>
            </w:r>
            <w:r w:rsidRPr="00A20A17">
              <w:rPr>
                <w:rFonts w:ascii="Calibri" w:eastAsia="Calibri" w:hAnsi="Calibri" w:cs="Arial"/>
                <w:sz w:val="18"/>
                <w:szCs w:val="18"/>
              </w:rPr>
              <w:t xml:space="preserve">: rate ratio = 0.79 for major vascular events per 1 mmol/L LDLC reduction. </w:t>
            </w:r>
          </w:p>
        </w:tc>
        <w:tc>
          <w:tcPr>
            <w:tcW w:w="0" w:type="auto"/>
          </w:tcPr>
          <w:p w14:paraId="5BA014E4" w14:textId="77777777" w:rsidR="00FE37DB" w:rsidRPr="00A20A17" w:rsidRDefault="00FE37DB" w:rsidP="00A80B48">
            <w:pPr>
              <w:spacing w:before="60" w:after="60" w:line="240" w:lineRule="auto"/>
              <w:rPr>
                <w:rFonts w:ascii="Calibri" w:eastAsia="Calibri" w:hAnsi="Calibri" w:cs="Arial"/>
                <w:sz w:val="18"/>
                <w:szCs w:val="18"/>
              </w:rPr>
            </w:pPr>
            <w:bookmarkStart w:id="14" w:name="_Hlk72250735"/>
            <w:r w:rsidRPr="00A20A17">
              <w:rPr>
                <w:rFonts w:ascii="Calibri" w:eastAsia="Calibri" w:hAnsi="Calibri" w:cs="Arial"/>
                <w:sz w:val="18"/>
                <w:szCs w:val="18"/>
              </w:rPr>
              <w:t xml:space="preserve">The LDLC effect size is uncertain, with the estimate of the effect of LDLC reductions on CV risk from the CTTC meta-analysis being a conservative estimate </w:t>
            </w:r>
            <w:bookmarkEnd w:id="14"/>
            <w:r w:rsidRPr="00A20A17">
              <w:rPr>
                <w:rFonts w:ascii="Calibri" w:eastAsia="Calibri" w:hAnsi="Calibri" w:cs="Arial"/>
                <w:sz w:val="18"/>
                <w:szCs w:val="18"/>
              </w:rPr>
              <w:t xml:space="preserve"> </w:t>
            </w:r>
            <w:r w:rsidRPr="00A20A17">
              <w:rPr>
                <w:rFonts w:ascii="Calibri" w:eastAsia="Calibri" w:hAnsi="Calibri" w:cs="Arial"/>
                <w:sz w:val="18"/>
                <w:szCs w:val="18"/>
              </w:rPr>
              <w:fldChar w:fldCharType="begin"/>
            </w:r>
            <w:r w:rsidRPr="00A20A17">
              <w:rPr>
                <w:rFonts w:ascii="Calibri" w:eastAsia="Calibri" w:hAnsi="Calibri" w:cs="Arial"/>
                <w:sz w:val="18"/>
                <w:szCs w:val="18"/>
              </w:rPr>
              <w:instrText xml:space="preserve"> ADDIN EN.CITE &lt;EndNote&gt;&lt;Cite&gt;&lt;Author&gt;Cholesterol&lt;/Author&gt;&lt;Year&gt;2019&lt;/Year&gt;&lt;IDText&gt;Efficacy and safety of statin therapy in older people: a meta-analysis of individual participant data from 28 randomised controlled trials&lt;/IDText&gt;&lt;DisplayText&gt;&lt;style face="superscript"&gt;16&lt;/style&gt;&lt;/DisplayText&gt;&lt;record&gt;&lt;dates&gt;&lt;pub-dates&gt;&lt;date&gt;02&lt;/date&gt;&lt;/pub-dates&gt;&lt;year&gt;2019&lt;/year&gt;&lt;/dates&gt;&lt;keywords&gt;&lt;keyword&gt;Age Factors&lt;/keyword&gt;&lt;keyword&gt;Aged&lt;/keyword&gt;&lt;keyword&gt;Humans&lt;/keyword&gt;&lt;keyword&gt;Hydroxymethylglutaryl-CoA Reductase Inhibitors&lt;/keyword&gt;&lt;keyword&gt;Randomized Controlled Trials as Topic&lt;/keyword&gt;&lt;/keywords&gt;&lt;urls&gt;&lt;related-urls&gt;&lt;url&gt;https://www.ncbi.nlm.nih.gov/pubmed/30712900&lt;/url&gt;&lt;/related-urls&gt;&lt;/urls&gt;&lt;isbn&gt;1474-547X&lt;/isbn&gt;&lt;custom2&gt;PMC6429627&lt;/custom2&gt;&lt;titles&gt;&lt;title&gt;Efficacy and safety of statin therapy in older people: a meta-analysis of individual participant data from 28 randomised controlled trials&lt;/title&gt;&lt;secondary-title&gt;Lancet&lt;/secondary-title&gt;&lt;/titles&gt;&lt;pages&gt;407-415&lt;/pages&gt;&lt;number&gt;10170&lt;/number&gt;&lt;contributors&gt;&lt;authors&gt;&lt;author&gt;Cholesterol Treatment Trialists&amp;apos; Collaboration&lt;/author&gt;&lt;/authors&gt;&lt;/contributors&gt;&lt;language&gt;eng&lt;/language&gt;&lt;added-date format="utc"&gt;1620903413&lt;/added-date&gt;&lt;ref-type name="Journal Article"&gt;17&lt;/ref-type&gt;&lt;rec-number&gt;149&lt;/rec-number&gt;&lt;last-updated-date format="utc"&gt;1620903413&lt;/last-updated-date&gt;&lt;accession-num&gt;30712900&lt;/accession-num&gt;&lt;electronic-resource-num&gt;10.1016/S0140-6736(18)31942-1&lt;/electronic-resource-num&gt;&lt;volume&gt;393&lt;/volume&gt;&lt;/record&gt;&lt;/Cite&gt;&lt;/EndNote&gt;</w:instrText>
            </w:r>
            <w:r w:rsidRPr="00A20A17">
              <w:rPr>
                <w:rFonts w:ascii="Calibri" w:eastAsia="Calibri" w:hAnsi="Calibri" w:cs="Arial"/>
                <w:sz w:val="18"/>
                <w:szCs w:val="18"/>
              </w:rPr>
              <w:fldChar w:fldCharType="separate"/>
            </w:r>
            <w:r w:rsidRPr="00A20A17">
              <w:rPr>
                <w:rFonts w:ascii="Calibri" w:eastAsia="Calibri" w:hAnsi="Calibri" w:cs="Arial"/>
                <w:noProof/>
                <w:sz w:val="18"/>
                <w:szCs w:val="18"/>
                <w:vertAlign w:val="superscript"/>
              </w:rPr>
              <w:t>16</w:t>
            </w:r>
            <w:r w:rsidRPr="00A20A17">
              <w:rPr>
                <w:rFonts w:ascii="Calibri" w:eastAsia="Calibri" w:hAnsi="Calibri" w:cs="Arial"/>
                <w:sz w:val="18"/>
                <w:szCs w:val="18"/>
              </w:rPr>
              <w:fldChar w:fldCharType="end"/>
            </w:r>
            <w:r w:rsidRPr="00A20A17">
              <w:rPr>
                <w:rFonts w:ascii="Calibri" w:eastAsia="Calibri" w:hAnsi="Calibri" w:cs="Arial"/>
                <w:sz w:val="18"/>
                <w:szCs w:val="18"/>
              </w:rPr>
              <w:t>.</w:t>
            </w:r>
          </w:p>
        </w:tc>
      </w:tr>
      <w:tr w:rsidR="00FE37DB" w:rsidRPr="00A20A17" w14:paraId="11ECA1A5" w14:textId="77777777" w:rsidTr="00A80B48">
        <w:tc>
          <w:tcPr>
            <w:tcW w:w="0" w:type="auto"/>
            <w:vMerge/>
          </w:tcPr>
          <w:p w14:paraId="05CA25CF" w14:textId="77777777" w:rsidR="00FE37DB" w:rsidRPr="00A20A17" w:rsidRDefault="00FE37DB" w:rsidP="00A80B48">
            <w:pPr>
              <w:spacing w:before="60" w:after="60" w:line="240" w:lineRule="auto"/>
              <w:rPr>
                <w:rFonts w:ascii="Calibri" w:eastAsia="Calibri" w:hAnsi="Calibri" w:cs="Arial"/>
                <w:b/>
                <w:bCs/>
                <w:sz w:val="18"/>
                <w:szCs w:val="18"/>
              </w:rPr>
            </w:pPr>
          </w:p>
        </w:tc>
        <w:tc>
          <w:tcPr>
            <w:tcW w:w="0" w:type="auto"/>
            <w:shd w:val="clear" w:color="auto" w:fill="auto"/>
          </w:tcPr>
          <w:p w14:paraId="3719222F" w14:textId="77777777" w:rsidR="00FE37DB" w:rsidRPr="00A20A17" w:rsidRDefault="00FE37DB" w:rsidP="00A80B48">
            <w:pPr>
              <w:numPr>
                <w:ilvl w:val="0"/>
                <w:numId w:val="8"/>
              </w:numPr>
              <w:spacing w:before="60" w:after="60" w:line="240" w:lineRule="auto"/>
              <w:rPr>
                <w:rFonts w:ascii="Calibri" w:eastAsia="Calibri" w:hAnsi="Calibri" w:cs="Arial"/>
                <w:sz w:val="18"/>
                <w:szCs w:val="18"/>
              </w:rPr>
            </w:pPr>
            <w:r w:rsidRPr="00A20A17">
              <w:rPr>
                <w:rFonts w:ascii="Calibri" w:eastAsia="Calibri" w:hAnsi="Calibri" w:cs="Arial"/>
                <w:sz w:val="18"/>
                <w:szCs w:val="18"/>
              </w:rPr>
              <w:t xml:space="preserve">The effect of LDLC reduction on CV event risk is greater that what was estimated in the CTTC relationship (30% vs 21%)  </w:t>
            </w:r>
            <w:r w:rsidRPr="00A20A17">
              <w:rPr>
                <w:rFonts w:ascii="Calibri" w:eastAsia="Calibri" w:hAnsi="Calibri" w:cs="Arial"/>
                <w:sz w:val="18"/>
                <w:szCs w:val="18"/>
              </w:rPr>
              <w:fldChar w:fldCharType="begin"/>
            </w:r>
            <w:r w:rsidRPr="00A20A17">
              <w:rPr>
                <w:rFonts w:ascii="Calibri" w:eastAsia="Calibri" w:hAnsi="Calibri" w:cs="Arial"/>
                <w:sz w:val="18"/>
                <w:szCs w:val="18"/>
              </w:rPr>
              <w:instrText xml:space="preserve"> ADDIN EN.CITE &lt;EndNote&gt;&lt;Cite&gt;&lt;Author&gt;Cholesterol&lt;/Author&gt;&lt;Year&gt;2019&lt;/Year&gt;&lt;IDText&gt;Efficacy and safety of statin therapy in older people: a meta-analysis of individual participant data from 28 randomised controlled trials&lt;/IDText&gt;&lt;DisplayText&gt;&lt;style face="superscript"&gt;16&lt;/style&gt;&lt;/DisplayText&gt;&lt;record&gt;&lt;dates&gt;&lt;pub-dates&gt;&lt;date&gt;02&lt;/date&gt;&lt;/pub-dates&gt;&lt;year&gt;2019&lt;/year&gt;&lt;/dates&gt;&lt;keywords&gt;&lt;keyword&gt;Age Factors&lt;/keyword&gt;&lt;keyword&gt;Aged&lt;/keyword&gt;&lt;keyword&gt;Humans&lt;/keyword&gt;&lt;keyword&gt;Hydroxymethylglutaryl-CoA Reductase Inhibitors&lt;/keyword&gt;&lt;keyword&gt;Randomized Controlled Trials as Topic&lt;/keyword&gt;&lt;/keywords&gt;&lt;urls&gt;&lt;related-urls&gt;&lt;url&gt;https://www.ncbi.nlm.nih.gov/pubmed/30712900&lt;/url&gt;&lt;/related-urls&gt;&lt;/urls&gt;&lt;isbn&gt;1474-547X&lt;/isbn&gt;&lt;custom2&gt;PMC6429627&lt;/custom2&gt;&lt;titles&gt;&lt;title&gt;Efficacy and safety of statin therapy in older people: a meta-analysis of individual participant data from 28 randomised controlled trials&lt;/title&gt;&lt;secondary-title&gt;Lancet&lt;/secondary-title&gt;&lt;/titles&gt;&lt;pages&gt;407-415&lt;/pages&gt;&lt;number&gt;10170&lt;/number&gt;&lt;contributors&gt;&lt;authors&gt;&lt;author&gt;Cholesterol Treatment Trialists&amp;apos; Collaboration&lt;/author&gt;&lt;/authors&gt;&lt;/contributors&gt;&lt;language&gt;eng&lt;/language&gt;&lt;added-date format="utc"&gt;1620903413&lt;/added-date&gt;&lt;ref-type name="Journal Article"&gt;17&lt;/ref-type&gt;&lt;rec-number&gt;149&lt;/rec-number&gt;&lt;last-updated-date format="utc"&gt;1620903413&lt;/last-updated-date&gt;&lt;accession-num&gt;30712900&lt;/accession-num&gt;&lt;electronic-resource-num&gt;10.1016/S0140-6736(18)31942-1&lt;/electronic-resource-num&gt;&lt;volume&gt;393&lt;/volume&gt;&lt;/record&gt;&lt;/Cite&gt;&lt;/EndNote&gt;</w:instrText>
            </w:r>
            <w:r w:rsidRPr="00A20A17">
              <w:rPr>
                <w:rFonts w:ascii="Calibri" w:eastAsia="Calibri" w:hAnsi="Calibri" w:cs="Arial"/>
                <w:sz w:val="18"/>
                <w:szCs w:val="18"/>
              </w:rPr>
              <w:fldChar w:fldCharType="separate"/>
            </w:r>
            <w:r w:rsidRPr="00A20A17">
              <w:rPr>
                <w:rFonts w:ascii="Calibri" w:eastAsia="Calibri" w:hAnsi="Calibri" w:cs="Arial"/>
                <w:noProof/>
                <w:sz w:val="18"/>
                <w:szCs w:val="18"/>
                <w:vertAlign w:val="superscript"/>
              </w:rPr>
              <w:t>16</w:t>
            </w:r>
            <w:r w:rsidRPr="00A20A17">
              <w:rPr>
                <w:rFonts w:ascii="Calibri" w:eastAsia="Calibri" w:hAnsi="Calibri" w:cs="Arial"/>
                <w:sz w:val="18"/>
                <w:szCs w:val="18"/>
              </w:rPr>
              <w:fldChar w:fldCharType="end"/>
            </w:r>
            <w:r w:rsidRPr="00A20A17">
              <w:rPr>
                <w:rFonts w:ascii="Calibri" w:eastAsia="Calibri" w:hAnsi="Calibri" w:cs="Arial"/>
                <w:sz w:val="18"/>
                <w:szCs w:val="18"/>
              </w:rPr>
              <w:t>.</w:t>
            </w:r>
          </w:p>
        </w:tc>
        <w:tc>
          <w:tcPr>
            <w:tcW w:w="0" w:type="auto"/>
            <w:shd w:val="clear" w:color="auto" w:fill="auto"/>
          </w:tcPr>
          <w:p w14:paraId="5A413073"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The CTTC relationship may not reflect the reduction in risk in individuals with FH.</w:t>
            </w:r>
          </w:p>
        </w:tc>
      </w:tr>
      <w:tr w:rsidR="00FE37DB" w:rsidRPr="00A20A17" w14:paraId="6DEA9AB1" w14:textId="77777777" w:rsidTr="00A80B48">
        <w:tc>
          <w:tcPr>
            <w:tcW w:w="0" w:type="auto"/>
            <w:vMerge/>
          </w:tcPr>
          <w:p w14:paraId="3E01DFB4" w14:textId="77777777" w:rsidR="00FE37DB" w:rsidRPr="00A20A17" w:rsidRDefault="00FE37DB" w:rsidP="00A80B48">
            <w:pPr>
              <w:spacing w:before="60" w:after="60" w:line="240" w:lineRule="auto"/>
              <w:rPr>
                <w:rFonts w:ascii="Calibri" w:eastAsia="Calibri" w:hAnsi="Calibri" w:cs="Arial"/>
                <w:b/>
                <w:bCs/>
                <w:sz w:val="18"/>
                <w:szCs w:val="18"/>
              </w:rPr>
            </w:pPr>
          </w:p>
        </w:tc>
        <w:tc>
          <w:tcPr>
            <w:tcW w:w="0" w:type="auto"/>
            <w:shd w:val="clear" w:color="auto" w:fill="auto"/>
          </w:tcPr>
          <w:p w14:paraId="68EFCF09" w14:textId="77777777" w:rsidR="00FE37DB" w:rsidRPr="00A20A17" w:rsidRDefault="00FE37DB" w:rsidP="00A80B48">
            <w:pPr>
              <w:numPr>
                <w:ilvl w:val="0"/>
                <w:numId w:val="8"/>
              </w:numPr>
              <w:spacing w:before="60" w:after="60" w:line="240" w:lineRule="auto"/>
              <w:rPr>
                <w:rFonts w:ascii="Calibri" w:eastAsia="Calibri" w:hAnsi="Calibri" w:cs="Arial"/>
                <w:sz w:val="18"/>
                <w:szCs w:val="18"/>
              </w:rPr>
            </w:pPr>
            <w:r w:rsidRPr="00A20A17">
              <w:rPr>
                <w:rFonts w:ascii="Calibri" w:eastAsia="Calibri" w:hAnsi="Calibri" w:cs="Arial"/>
                <w:sz w:val="18"/>
                <w:szCs w:val="18"/>
              </w:rPr>
              <w:t xml:space="preserve">The CTTC relationship  </w:t>
            </w:r>
            <w:r w:rsidRPr="00A20A17">
              <w:rPr>
                <w:rFonts w:ascii="Calibri" w:eastAsia="Calibri" w:hAnsi="Calibri" w:cs="Arial"/>
                <w:sz w:val="18"/>
                <w:szCs w:val="18"/>
              </w:rPr>
              <w:fldChar w:fldCharType="begin"/>
            </w:r>
            <w:r w:rsidRPr="00A20A17">
              <w:rPr>
                <w:rFonts w:ascii="Calibri" w:eastAsia="Calibri" w:hAnsi="Calibri" w:cs="Arial"/>
                <w:sz w:val="18"/>
                <w:szCs w:val="18"/>
              </w:rPr>
              <w:instrText xml:space="preserve"> ADDIN EN.CITE &lt;EndNote&gt;&lt;Cite&gt;&lt;Author&gt;Cholesterol&lt;/Author&gt;&lt;Year&gt;2019&lt;/Year&gt;&lt;IDText&gt;Efficacy and safety of statin therapy in older people: a meta-analysis of individual participant data from 28 randomised controlled trials&lt;/IDText&gt;&lt;DisplayText&gt;&lt;style face="superscript"&gt;16&lt;/style&gt;&lt;/DisplayText&gt;&lt;record&gt;&lt;dates&gt;&lt;pub-dates&gt;&lt;date&gt;02&lt;/date&gt;&lt;/pub-dates&gt;&lt;year&gt;2019&lt;/year&gt;&lt;/dates&gt;&lt;keywords&gt;&lt;keyword&gt;Age Factors&lt;/keyword&gt;&lt;keyword&gt;Aged&lt;/keyword&gt;&lt;keyword&gt;Humans&lt;/keyword&gt;&lt;keyword&gt;Hydroxymethylglutaryl-CoA Reductase Inhibitors&lt;/keyword&gt;&lt;keyword&gt;Randomized Controlled Trials as Topic&lt;/keyword&gt;&lt;/keywords&gt;&lt;urls&gt;&lt;related-urls&gt;&lt;url&gt;https://www.ncbi.nlm.nih.gov/pubmed/30712900&lt;/url&gt;&lt;/related-urls&gt;&lt;/urls&gt;&lt;isbn&gt;1474-547X&lt;/isbn&gt;&lt;custom2&gt;PMC6429627&lt;/custom2&gt;&lt;titles&gt;&lt;title&gt;Efficacy and safety of statin therapy in older people: a meta-analysis of individual participant data from 28 randomised controlled trials&lt;/title&gt;&lt;secondary-title&gt;Lancet&lt;/secondary-title&gt;&lt;/titles&gt;&lt;pages&gt;407-415&lt;/pages&gt;&lt;number&gt;10170&lt;/number&gt;&lt;contributors&gt;&lt;authors&gt;&lt;author&gt;Cholesterol Treatment Trialists&amp;apos; Collaboration&lt;/author&gt;&lt;/authors&gt;&lt;/contributors&gt;&lt;language&gt;eng&lt;/language&gt;&lt;added-date format="utc"&gt;1620903413&lt;/added-date&gt;&lt;ref-type name="Journal Article"&gt;17&lt;/ref-type&gt;&lt;rec-number&gt;149&lt;/rec-number&gt;&lt;last-updated-date format="utc"&gt;1620903413&lt;/last-updated-date&gt;&lt;accession-num&gt;30712900&lt;/accession-num&gt;&lt;electronic-resource-num&gt;10.1016/S0140-6736(18)31942-1&lt;/electronic-resource-num&gt;&lt;volume&gt;393&lt;/volume&gt;&lt;/record&gt;&lt;/Cite&gt;&lt;/EndNote&gt;</w:instrText>
            </w:r>
            <w:r w:rsidRPr="00A20A17">
              <w:rPr>
                <w:rFonts w:ascii="Calibri" w:eastAsia="Calibri" w:hAnsi="Calibri" w:cs="Arial"/>
                <w:sz w:val="18"/>
                <w:szCs w:val="18"/>
              </w:rPr>
              <w:fldChar w:fldCharType="separate"/>
            </w:r>
            <w:r w:rsidRPr="00A20A17">
              <w:rPr>
                <w:rFonts w:ascii="Calibri" w:eastAsia="Calibri" w:hAnsi="Calibri" w:cs="Arial"/>
                <w:noProof/>
                <w:sz w:val="18"/>
                <w:szCs w:val="18"/>
                <w:vertAlign w:val="superscript"/>
              </w:rPr>
              <w:t>16</w:t>
            </w:r>
            <w:r w:rsidRPr="00A20A17">
              <w:rPr>
                <w:rFonts w:ascii="Calibri" w:eastAsia="Calibri" w:hAnsi="Calibri" w:cs="Arial"/>
                <w:sz w:val="18"/>
                <w:szCs w:val="18"/>
              </w:rPr>
              <w:fldChar w:fldCharType="end"/>
            </w:r>
            <w:r w:rsidRPr="00A20A17">
              <w:rPr>
                <w:rFonts w:ascii="Calibri" w:eastAsia="Calibri" w:hAnsi="Calibri" w:cs="Arial"/>
                <w:sz w:val="18"/>
                <w:szCs w:val="18"/>
              </w:rPr>
              <w:t xml:space="preserve"> holds up to a maximum pre-treatment LDLC of 6 mmol/L and beyond this threshold the effect of greater LDLC reductions the effect is the same.</w:t>
            </w:r>
          </w:p>
        </w:tc>
        <w:tc>
          <w:tcPr>
            <w:tcW w:w="0" w:type="auto"/>
            <w:shd w:val="clear" w:color="auto" w:fill="auto"/>
          </w:tcPr>
          <w:p w14:paraId="52E67385"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It is uncertain whether the CTTC relationship holds in individuals with high pre-treatment LDLC, as they were underrepresented in the primary studies.</w:t>
            </w:r>
          </w:p>
        </w:tc>
      </w:tr>
      <w:tr w:rsidR="00FE37DB" w:rsidRPr="00A20A17" w14:paraId="722DD52D" w14:textId="77777777" w:rsidTr="00A80B48">
        <w:tc>
          <w:tcPr>
            <w:tcW w:w="0" w:type="auto"/>
          </w:tcPr>
          <w:p w14:paraId="5C3D6F49" w14:textId="77777777" w:rsidR="00FE37DB" w:rsidRPr="00A20A17" w:rsidRDefault="00FE37DB" w:rsidP="00A80B48">
            <w:pPr>
              <w:spacing w:before="60" w:after="60" w:line="240" w:lineRule="auto"/>
              <w:rPr>
                <w:rFonts w:ascii="Calibri" w:eastAsia="Calibri" w:hAnsi="Calibri" w:cs="Arial"/>
                <w:b/>
                <w:bCs/>
                <w:sz w:val="18"/>
                <w:szCs w:val="18"/>
              </w:rPr>
            </w:pPr>
            <w:r w:rsidRPr="00A20A17">
              <w:rPr>
                <w:rFonts w:ascii="Calibri" w:eastAsia="Calibri" w:hAnsi="Calibri" w:cs="Arial"/>
                <w:b/>
                <w:bCs/>
                <w:sz w:val="18"/>
                <w:szCs w:val="18"/>
              </w:rPr>
              <w:t>FH diagnosis does not affect the risk of all-cause death over and above the effect via the reduction of LDLC.</w:t>
            </w:r>
          </w:p>
        </w:tc>
        <w:tc>
          <w:tcPr>
            <w:tcW w:w="0" w:type="auto"/>
          </w:tcPr>
          <w:p w14:paraId="3BE32E71" w14:textId="77777777" w:rsidR="00FE37DB" w:rsidRPr="00A20A17" w:rsidRDefault="00FE37DB" w:rsidP="00A80B48">
            <w:pPr>
              <w:numPr>
                <w:ilvl w:val="0"/>
                <w:numId w:val="8"/>
              </w:numPr>
              <w:spacing w:before="60" w:after="60" w:line="240" w:lineRule="auto"/>
              <w:rPr>
                <w:rFonts w:ascii="Calibri" w:eastAsia="Calibri" w:hAnsi="Calibri" w:cs="Arial"/>
                <w:sz w:val="18"/>
                <w:szCs w:val="18"/>
              </w:rPr>
            </w:pPr>
            <w:r w:rsidRPr="00A20A17">
              <w:rPr>
                <w:rFonts w:ascii="Calibri" w:eastAsia="Calibri" w:hAnsi="Calibri" w:cs="Arial"/>
                <w:sz w:val="18"/>
                <w:szCs w:val="18"/>
              </w:rPr>
              <w:t>FH diagnosis reduces the risk of non-CV death (prior to a 1</w:t>
            </w:r>
            <w:r w:rsidRPr="00A20A17">
              <w:rPr>
                <w:rFonts w:ascii="Calibri" w:eastAsia="Calibri" w:hAnsi="Calibri" w:cs="Arial"/>
                <w:sz w:val="18"/>
                <w:szCs w:val="18"/>
                <w:vertAlign w:val="superscript"/>
              </w:rPr>
              <w:t>st</w:t>
            </w:r>
            <w:r w:rsidRPr="00A20A17">
              <w:rPr>
                <w:rFonts w:ascii="Calibri" w:eastAsia="Calibri" w:hAnsi="Calibri" w:cs="Arial"/>
                <w:sz w:val="18"/>
                <w:szCs w:val="18"/>
              </w:rPr>
              <w:t xml:space="preserve"> CV event) by 1% (hazard ratio = 0.99). </w:t>
            </w:r>
          </w:p>
        </w:tc>
        <w:tc>
          <w:tcPr>
            <w:tcW w:w="0" w:type="auto"/>
          </w:tcPr>
          <w:p w14:paraId="1579869C"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Once diagnosed, individuals with FH may adopt healthier lifestyles, which may reduce the risk of death via mechanisms other than LDLC reduction.</w:t>
            </w:r>
          </w:p>
        </w:tc>
      </w:tr>
      <w:tr w:rsidR="00FE37DB" w:rsidRPr="00A20A17" w14:paraId="3C22C972" w14:textId="77777777" w:rsidTr="00A80B48">
        <w:tc>
          <w:tcPr>
            <w:tcW w:w="0" w:type="auto"/>
          </w:tcPr>
          <w:p w14:paraId="63581CA0" w14:textId="77777777" w:rsidR="00FE37DB" w:rsidRPr="00A20A17" w:rsidRDefault="00FE37DB" w:rsidP="00A80B48">
            <w:pPr>
              <w:spacing w:before="60" w:after="60" w:line="240" w:lineRule="auto"/>
              <w:rPr>
                <w:rFonts w:ascii="Calibri" w:eastAsia="Calibri" w:hAnsi="Calibri" w:cs="Arial"/>
                <w:b/>
                <w:bCs/>
                <w:sz w:val="18"/>
                <w:szCs w:val="18"/>
              </w:rPr>
            </w:pPr>
            <w:r w:rsidRPr="00A20A17">
              <w:rPr>
                <w:rFonts w:ascii="Calibri" w:eastAsia="Calibri" w:hAnsi="Calibri" w:cs="Arial"/>
                <w:b/>
                <w:bCs/>
                <w:sz w:val="18"/>
                <w:szCs w:val="18"/>
              </w:rPr>
              <w:t>Children who are diagnosed with FH are treated with LLT from 10 years of age.</w:t>
            </w:r>
          </w:p>
        </w:tc>
        <w:tc>
          <w:tcPr>
            <w:tcW w:w="0" w:type="auto"/>
          </w:tcPr>
          <w:p w14:paraId="464F1AF0" w14:textId="77777777" w:rsidR="00FE37DB" w:rsidRPr="00A20A17" w:rsidRDefault="00FE37DB" w:rsidP="00A80B48">
            <w:pPr>
              <w:numPr>
                <w:ilvl w:val="0"/>
                <w:numId w:val="8"/>
              </w:numPr>
              <w:spacing w:before="60" w:after="60" w:line="240" w:lineRule="auto"/>
              <w:rPr>
                <w:rFonts w:ascii="Calibri" w:eastAsia="Calibri" w:hAnsi="Calibri" w:cs="Arial"/>
                <w:sz w:val="18"/>
                <w:szCs w:val="18"/>
              </w:rPr>
            </w:pPr>
            <w:r w:rsidRPr="00A20A17">
              <w:rPr>
                <w:rFonts w:ascii="Calibri" w:eastAsia="Calibri" w:hAnsi="Calibri" w:cs="Arial"/>
                <w:sz w:val="18"/>
                <w:szCs w:val="18"/>
              </w:rPr>
              <w:t>Individuals who are diagnosed with FH are treated with LLT from 18 years of age.</w:t>
            </w:r>
          </w:p>
        </w:tc>
        <w:tc>
          <w:tcPr>
            <w:tcW w:w="0" w:type="auto"/>
          </w:tcPr>
          <w:p w14:paraId="63C949D8"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 xml:space="preserve">Although the NICE CG71 and the Heart UK consensus statement recommend treatment from 10 years of age </w:t>
            </w:r>
            <w:r w:rsidRPr="00A20A17">
              <w:rPr>
                <w:rFonts w:ascii="Calibri" w:eastAsia="Calibri" w:hAnsi="Calibri" w:cs="Arial"/>
                <w:sz w:val="18"/>
                <w:szCs w:val="18"/>
              </w:rPr>
              <w:fldChar w:fldCharType="begin">
                <w:fldData xml:space="preserve">PEVuZE5vdGU+PENpdGU+PEF1dGhvcj5OSUNFPC9BdXRob3I+PFllYXI+MjAxOTwvWWVhcj48SURU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=
</w:fldData>
              </w:fldChar>
            </w:r>
            <w:r w:rsidRPr="00A20A17">
              <w:rPr>
                <w:rFonts w:ascii="Calibri" w:eastAsia="Calibri" w:hAnsi="Calibri" w:cs="Arial"/>
                <w:sz w:val="18"/>
                <w:szCs w:val="18"/>
              </w:rPr>
              <w:instrText xml:space="preserve"> ADDIN EN.CITE </w:instrText>
            </w:r>
            <w:r w:rsidRPr="00A20A17">
              <w:rPr>
                <w:rFonts w:ascii="Calibri" w:eastAsia="Calibri" w:hAnsi="Calibri" w:cs="Arial"/>
                <w:sz w:val="18"/>
                <w:szCs w:val="18"/>
              </w:rPr>
              <w:fldChar w:fldCharType="begin">
                <w:fldData xml:space="preserve">PEVuZE5vdGU+PENpdGU+PEF1dGhvcj5OSUNFPC9BdXRob3I+PFllYXI+MjAxOTwvWWVhcj48SURU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=
</w:fldData>
              </w:fldChar>
            </w:r>
            <w:r w:rsidRPr="00A20A17">
              <w:rPr>
                <w:rFonts w:ascii="Calibri" w:eastAsia="Calibri" w:hAnsi="Calibri" w:cs="Arial"/>
                <w:sz w:val="18"/>
                <w:szCs w:val="18"/>
              </w:rPr>
              <w:instrText xml:space="preserve"> ADDIN EN.CITE.DATA </w:instrText>
            </w:r>
            <w:r w:rsidRPr="00A20A17">
              <w:rPr>
                <w:rFonts w:ascii="Calibri" w:eastAsia="Calibri" w:hAnsi="Calibri" w:cs="Arial"/>
                <w:sz w:val="18"/>
                <w:szCs w:val="18"/>
              </w:rPr>
            </w:r>
            <w:r w:rsidRPr="00A20A17">
              <w:rPr>
                <w:rFonts w:ascii="Calibri" w:eastAsia="Calibri" w:hAnsi="Calibri" w:cs="Arial"/>
                <w:sz w:val="18"/>
                <w:szCs w:val="18"/>
              </w:rPr>
              <w:fldChar w:fldCharType="end"/>
            </w:r>
            <w:r w:rsidRPr="00A20A17">
              <w:rPr>
                <w:rFonts w:ascii="Calibri" w:eastAsia="Calibri" w:hAnsi="Calibri" w:cs="Arial"/>
                <w:sz w:val="18"/>
                <w:szCs w:val="18"/>
              </w:rPr>
            </w:r>
            <w:r w:rsidRPr="00A20A17">
              <w:rPr>
                <w:rFonts w:ascii="Calibri" w:eastAsia="Calibri" w:hAnsi="Calibri" w:cs="Arial"/>
                <w:sz w:val="18"/>
                <w:szCs w:val="18"/>
              </w:rPr>
              <w:fldChar w:fldCharType="separate"/>
            </w:r>
            <w:r w:rsidRPr="00A20A17">
              <w:rPr>
                <w:rFonts w:ascii="Calibri" w:eastAsia="Calibri" w:hAnsi="Calibri" w:cs="Arial"/>
                <w:noProof/>
                <w:sz w:val="18"/>
                <w:szCs w:val="18"/>
                <w:vertAlign w:val="superscript"/>
              </w:rPr>
              <w:t>6,25</w:t>
            </w:r>
            <w:r w:rsidRPr="00A20A17">
              <w:rPr>
                <w:rFonts w:ascii="Calibri" w:eastAsia="Calibri" w:hAnsi="Calibri" w:cs="Arial"/>
                <w:sz w:val="18"/>
                <w:szCs w:val="18"/>
              </w:rPr>
              <w:fldChar w:fldCharType="end"/>
            </w:r>
            <w:r w:rsidRPr="00A20A17">
              <w:rPr>
                <w:rFonts w:ascii="Calibri" w:eastAsia="Calibri" w:hAnsi="Calibri" w:cs="Arial"/>
                <w:sz w:val="18"/>
                <w:szCs w:val="18"/>
              </w:rPr>
              <w:t>, some individuals and families may prefer to defer starting LLT until adulthood.</w:t>
            </w:r>
          </w:p>
        </w:tc>
      </w:tr>
      <w:tr w:rsidR="00FE37DB" w:rsidRPr="00A20A17" w14:paraId="17F39210" w14:textId="77777777" w:rsidTr="00A80B48">
        <w:tc>
          <w:tcPr>
            <w:tcW w:w="0" w:type="auto"/>
            <w:vMerge w:val="restart"/>
          </w:tcPr>
          <w:p w14:paraId="1D96FC6C" w14:textId="77777777" w:rsidR="00FE37DB" w:rsidRPr="00A20A17" w:rsidRDefault="00FE37DB" w:rsidP="00A80B48">
            <w:pPr>
              <w:spacing w:before="60" w:after="60" w:line="240" w:lineRule="auto"/>
              <w:rPr>
                <w:rFonts w:ascii="Calibri" w:eastAsia="Calibri" w:hAnsi="Calibri" w:cs="Arial"/>
                <w:b/>
                <w:bCs/>
                <w:sz w:val="18"/>
                <w:szCs w:val="18"/>
              </w:rPr>
            </w:pPr>
            <w:r w:rsidRPr="00A20A17">
              <w:rPr>
                <w:rFonts w:ascii="Calibri" w:eastAsia="Calibri" w:hAnsi="Calibri" w:cs="Arial"/>
                <w:b/>
                <w:bCs/>
                <w:sz w:val="18"/>
                <w:szCs w:val="18"/>
              </w:rPr>
              <w:t>Prior FH diagnosis and treatment has no effect on the risk of death after the first-non-fatal CV event.</w:t>
            </w:r>
          </w:p>
        </w:tc>
        <w:tc>
          <w:tcPr>
            <w:tcW w:w="0" w:type="auto"/>
          </w:tcPr>
          <w:p w14:paraId="445E8530" w14:textId="77777777" w:rsidR="00FE37DB" w:rsidRPr="00A20A17" w:rsidRDefault="00FE37DB" w:rsidP="00A80B48">
            <w:pPr>
              <w:numPr>
                <w:ilvl w:val="0"/>
                <w:numId w:val="8"/>
              </w:numPr>
              <w:spacing w:before="60" w:after="60" w:line="240" w:lineRule="auto"/>
              <w:rPr>
                <w:rFonts w:ascii="Calibri" w:eastAsia="Calibri" w:hAnsi="Calibri" w:cs="Arial"/>
                <w:sz w:val="18"/>
                <w:szCs w:val="18"/>
              </w:rPr>
            </w:pPr>
            <w:r w:rsidRPr="00A20A17">
              <w:rPr>
                <w:rFonts w:ascii="Calibri" w:eastAsia="Calibri" w:hAnsi="Calibri" w:cs="Arial"/>
                <w:sz w:val="18"/>
                <w:szCs w:val="18"/>
              </w:rPr>
              <w:t xml:space="preserve">Prior FH diagnosis and treatment reduces LDLC after the first non-fatal CV event by 50%, in line with the NICE CG181 </w:t>
            </w:r>
            <w:r w:rsidRPr="00A20A17">
              <w:rPr>
                <w:rFonts w:ascii="Calibri" w:eastAsia="Calibri" w:hAnsi="Calibri" w:cs="Arial"/>
                <w:sz w:val="18"/>
                <w:szCs w:val="18"/>
              </w:rPr>
              <w:fldChar w:fldCharType="begin"/>
            </w:r>
            <w:r w:rsidRPr="00A20A17">
              <w:rPr>
                <w:rFonts w:ascii="Calibri" w:eastAsia="Calibri" w:hAnsi="Calibri" w:cs="Arial"/>
                <w:sz w:val="18"/>
                <w:szCs w:val="18"/>
              </w:rPr>
              <w:instrText xml:space="preserve"> ADDIN EN.CITE &lt;EndNote&gt;&lt;Cite&gt;&lt;Author&gt;NICE&lt;/Author&gt;&lt;Year&gt;2014&lt;/Year&gt;&lt;IDText&gt;Clinical guideline 181. Lipid modification: cardiovascular risk assessment and the modification of blood lipids for the primary and secondary prevention of cardiovascular disease&lt;/IDText&gt;&lt;DisplayText&gt;&lt;style face="superscript"&gt;12&lt;/style&gt;&lt;/DisplayText&gt;&lt;record&gt;&lt;titles&gt;&lt;title&gt;Clinical guideline 181. Lipid modification: cardiovascular risk assessment and the modification of blood lipids for the primary and secondary prevention of cardiovascular disease&lt;/title&gt;&lt;short-title&gt;Clinical guideline 181. Lipid modification: cardiovascular risk assessment and the modification of blood lipids for the primary and secondary prevention of cardiovascular disease&lt;/short-title&gt;&lt;/titles&gt;&lt;contributors&gt;&lt;authors&gt;&lt;author&gt;NICE&lt;/author&gt;&lt;/authors&gt;&lt;/contributors&gt;&lt;added-date format="utc"&gt;1603453281&lt;/added-date&gt;&lt;ref-type name="Report"&gt;27&lt;/ref-type&gt;&lt;dates&gt;&lt;year&gt;2014&lt;/year&gt;&lt;/dates&gt;&lt;rec-number&gt;62&lt;/rec-number&gt;&lt;last-updated-date format="utc"&gt;1603453281&lt;/last-updated-date&gt;&lt;/record&gt;&lt;/Cite&gt;&lt;/EndNote&gt;</w:instrText>
            </w:r>
            <w:r w:rsidRPr="00A20A17">
              <w:rPr>
                <w:rFonts w:ascii="Calibri" w:eastAsia="Calibri" w:hAnsi="Calibri" w:cs="Arial"/>
                <w:sz w:val="18"/>
                <w:szCs w:val="18"/>
              </w:rPr>
              <w:fldChar w:fldCharType="separate"/>
            </w:r>
            <w:r w:rsidRPr="00A20A17">
              <w:rPr>
                <w:rFonts w:ascii="Calibri" w:eastAsia="Calibri" w:hAnsi="Calibri" w:cs="Arial"/>
                <w:noProof/>
                <w:sz w:val="18"/>
                <w:szCs w:val="18"/>
                <w:vertAlign w:val="superscript"/>
              </w:rPr>
              <w:t>12</w:t>
            </w:r>
            <w:r w:rsidRPr="00A20A17">
              <w:rPr>
                <w:rFonts w:ascii="Calibri" w:eastAsia="Calibri" w:hAnsi="Calibri" w:cs="Arial"/>
                <w:sz w:val="18"/>
                <w:szCs w:val="18"/>
              </w:rPr>
              <w:fldChar w:fldCharType="end"/>
            </w:r>
            <w:r w:rsidRPr="00A20A17">
              <w:rPr>
                <w:rFonts w:ascii="Calibri" w:eastAsia="Calibri" w:hAnsi="Calibri" w:cs="Arial"/>
                <w:sz w:val="18"/>
                <w:szCs w:val="18"/>
              </w:rPr>
              <w:t>, while individuals who did not have a prior diagnosis have the base-case risk of death (calculated from the Lewsey equations).</w:t>
            </w:r>
          </w:p>
        </w:tc>
        <w:tc>
          <w:tcPr>
            <w:tcW w:w="0" w:type="auto"/>
            <w:vMerge w:val="restart"/>
          </w:tcPr>
          <w:p w14:paraId="792866FD"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 xml:space="preserve">Individuals who have a prior diagnosis of FH who have a first non-fatal CV event may be treated more intensely than individuals who have not been diagnosed, despite the NICE target for secondary prevention for individuals with and without FH being the same at 50% LDLC reduction. </w:t>
            </w:r>
          </w:p>
          <w:p w14:paraId="1E03EEF9" w14:textId="77777777" w:rsidR="00FE37DB" w:rsidRPr="00A20A17" w:rsidRDefault="00FE37DB" w:rsidP="00A80B48">
            <w:pPr>
              <w:spacing w:before="60" w:after="60" w:line="240" w:lineRule="auto"/>
              <w:rPr>
                <w:rFonts w:ascii="Calibri" w:eastAsia="Calibri" w:hAnsi="Calibri" w:cs="Arial"/>
                <w:sz w:val="18"/>
                <w:szCs w:val="18"/>
              </w:rPr>
            </w:pPr>
          </w:p>
        </w:tc>
      </w:tr>
      <w:tr w:rsidR="00FE37DB" w:rsidRPr="00A20A17" w14:paraId="17DBC882" w14:textId="77777777" w:rsidTr="00A80B48">
        <w:tc>
          <w:tcPr>
            <w:tcW w:w="0" w:type="auto"/>
            <w:vMerge/>
          </w:tcPr>
          <w:p w14:paraId="76372DDA" w14:textId="77777777" w:rsidR="00FE37DB" w:rsidRPr="00A20A17" w:rsidRDefault="00FE37DB" w:rsidP="00A80B48">
            <w:pPr>
              <w:spacing w:before="60" w:after="60" w:line="240" w:lineRule="auto"/>
              <w:rPr>
                <w:rFonts w:ascii="Calibri" w:eastAsia="Calibri" w:hAnsi="Calibri" w:cs="Arial"/>
                <w:b/>
                <w:bCs/>
                <w:sz w:val="18"/>
                <w:szCs w:val="18"/>
              </w:rPr>
            </w:pPr>
          </w:p>
        </w:tc>
        <w:tc>
          <w:tcPr>
            <w:tcW w:w="0" w:type="auto"/>
          </w:tcPr>
          <w:p w14:paraId="3DE6ED52" w14:textId="77777777" w:rsidR="00FE37DB" w:rsidRPr="00A20A17" w:rsidRDefault="00FE37DB" w:rsidP="00A80B48">
            <w:pPr>
              <w:numPr>
                <w:ilvl w:val="0"/>
                <w:numId w:val="8"/>
              </w:numPr>
              <w:spacing w:before="60" w:after="60" w:line="240" w:lineRule="auto"/>
              <w:rPr>
                <w:rFonts w:ascii="Calibri" w:eastAsia="Calibri" w:hAnsi="Calibri" w:cs="Arial"/>
                <w:sz w:val="18"/>
                <w:szCs w:val="18"/>
              </w:rPr>
            </w:pPr>
            <w:r w:rsidRPr="00A20A17">
              <w:rPr>
                <w:rFonts w:ascii="Calibri" w:eastAsia="Calibri" w:hAnsi="Calibri" w:cs="Arial"/>
                <w:sz w:val="18"/>
                <w:szCs w:val="18"/>
              </w:rPr>
              <w:t xml:space="preserve">Prior FH diagnosis and treatment reduces LDLC after the first non-fatal CV event to the EAS target of 1.4 mmol/L. </w:t>
            </w:r>
            <w:r w:rsidRPr="00A20A17">
              <w:rPr>
                <w:rFonts w:ascii="Calibri" w:eastAsia="Calibri" w:hAnsi="Calibri" w:cs="Arial"/>
                <w:sz w:val="18"/>
                <w:szCs w:val="18"/>
              </w:rPr>
              <w:fldChar w:fldCharType="begin">
                <w:fldData xml:space="preserve">PEVuZE5vdGU+PENpdGU+PEF1dGhvcj5NYWNoPC9BdXRob3I+PFllYXI+MjAxOTwvWWVhcj48SURU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</w:fldData>
              </w:fldChar>
            </w:r>
            <w:r w:rsidRPr="00A20A17">
              <w:rPr>
                <w:rFonts w:ascii="Calibri" w:eastAsia="Calibri" w:hAnsi="Calibri" w:cs="Arial"/>
                <w:sz w:val="18"/>
                <w:szCs w:val="18"/>
              </w:rPr>
              <w:instrText xml:space="preserve"> ADDIN EN.CITE </w:instrText>
            </w:r>
            <w:r w:rsidRPr="00A20A17">
              <w:rPr>
                <w:rFonts w:ascii="Calibri" w:eastAsia="Calibri" w:hAnsi="Calibri" w:cs="Arial"/>
                <w:sz w:val="18"/>
                <w:szCs w:val="18"/>
              </w:rPr>
              <w:fldChar w:fldCharType="begin">
                <w:fldData xml:space="preserve">PEVuZE5vdGU+PENpdGU+PEF1dGhvcj5NYWNoPC9BdXRob3I+PFllYXI+MjAxOTwvWWVhcj48SURU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</w:fldData>
              </w:fldChar>
            </w:r>
            <w:r w:rsidRPr="00A20A17">
              <w:rPr>
                <w:rFonts w:ascii="Calibri" w:eastAsia="Calibri" w:hAnsi="Calibri" w:cs="Arial"/>
                <w:sz w:val="18"/>
                <w:szCs w:val="18"/>
              </w:rPr>
              <w:instrText xml:space="preserve"> ADDIN EN.CITE.DATA </w:instrText>
            </w:r>
            <w:r w:rsidRPr="00A20A17">
              <w:rPr>
                <w:rFonts w:ascii="Calibri" w:eastAsia="Calibri" w:hAnsi="Calibri" w:cs="Arial"/>
                <w:sz w:val="18"/>
                <w:szCs w:val="18"/>
              </w:rPr>
            </w:r>
            <w:r w:rsidRPr="00A20A17">
              <w:rPr>
                <w:rFonts w:ascii="Calibri" w:eastAsia="Calibri" w:hAnsi="Calibri" w:cs="Arial"/>
                <w:sz w:val="18"/>
                <w:szCs w:val="18"/>
              </w:rPr>
              <w:fldChar w:fldCharType="end"/>
            </w:r>
            <w:r w:rsidRPr="00A20A17">
              <w:rPr>
                <w:rFonts w:ascii="Calibri" w:eastAsia="Calibri" w:hAnsi="Calibri" w:cs="Arial"/>
                <w:sz w:val="18"/>
                <w:szCs w:val="18"/>
              </w:rPr>
            </w:r>
            <w:r w:rsidRPr="00A20A17">
              <w:rPr>
                <w:rFonts w:ascii="Calibri" w:eastAsia="Calibri" w:hAnsi="Calibri" w:cs="Arial"/>
                <w:sz w:val="18"/>
                <w:szCs w:val="18"/>
              </w:rPr>
              <w:fldChar w:fldCharType="separate"/>
            </w:r>
            <w:r w:rsidRPr="00A20A17">
              <w:rPr>
                <w:rFonts w:ascii="Calibri" w:eastAsia="Calibri" w:hAnsi="Calibri" w:cs="Arial"/>
                <w:noProof/>
                <w:sz w:val="18"/>
                <w:szCs w:val="18"/>
                <w:vertAlign w:val="superscript"/>
              </w:rPr>
              <w:t>23</w:t>
            </w:r>
            <w:r w:rsidRPr="00A20A17">
              <w:rPr>
                <w:rFonts w:ascii="Calibri" w:eastAsia="Calibri" w:hAnsi="Calibri" w:cs="Arial"/>
                <w:sz w:val="18"/>
                <w:szCs w:val="18"/>
              </w:rPr>
              <w:fldChar w:fldCharType="end"/>
            </w:r>
            <w:r w:rsidRPr="00A20A17">
              <w:rPr>
                <w:rFonts w:ascii="Calibri" w:eastAsia="Calibri" w:hAnsi="Calibri" w:cs="Arial"/>
                <w:sz w:val="18"/>
                <w:szCs w:val="18"/>
              </w:rPr>
              <w:t>, while individuals who did not have a prior diagnosis have the base-case risk of death (calculated from the Lewsey equations).</w:t>
            </w:r>
          </w:p>
        </w:tc>
        <w:tc>
          <w:tcPr>
            <w:tcW w:w="0" w:type="auto"/>
            <w:vMerge/>
          </w:tcPr>
          <w:p w14:paraId="5F2B36A2" w14:textId="77777777" w:rsidR="00FE37DB" w:rsidRPr="00A20A17" w:rsidRDefault="00FE37DB" w:rsidP="00A80B48">
            <w:pPr>
              <w:spacing w:before="60" w:after="60" w:line="240" w:lineRule="auto"/>
              <w:rPr>
                <w:rFonts w:ascii="Calibri" w:eastAsia="Calibri" w:hAnsi="Calibri" w:cs="Arial"/>
                <w:sz w:val="18"/>
                <w:szCs w:val="18"/>
              </w:rPr>
            </w:pPr>
          </w:p>
        </w:tc>
      </w:tr>
      <w:tr w:rsidR="00FE37DB" w:rsidRPr="00A20A17" w14:paraId="2F62699E" w14:textId="77777777" w:rsidTr="00A80B48">
        <w:tc>
          <w:tcPr>
            <w:tcW w:w="0" w:type="auto"/>
          </w:tcPr>
          <w:p w14:paraId="65A7ED07" w14:textId="77777777" w:rsidR="00FE37DB" w:rsidRPr="00A20A17" w:rsidRDefault="00FE37DB" w:rsidP="00A80B48">
            <w:pPr>
              <w:spacing w:before="60" w:after="60" w:line="240" w:lineRule="auto"/>
              <w:rPr>
                <w:rFonts w:ascii="Calibri" w:eastAsia="Calibri" w:hAnsi="Calibri" w:cs="Arial"/>
                <w:b/>
                <w:bCs/>
                <w:sz w:val="18"/>
                <w:szCs w:val="18"/>
              </w:rPr>
            </w:pPr>
            <w:r w:rsidRPr="00A20A17">
              <w:rPr>
                <w:rFonts w:ascii="Calibri" w:eastAsia="Calibri" w:hAnsi="Calibri" w:cs="Arial"/>
                <w:b/>
                <w:bCs/>
                <w:sz w:val="18"/>
                <w:szCs w:val="18"/>
              </w:rPr>
              <w:t>LLT, and specifically statins, cause earlier onset of cases of diabetes type 2, which is reflected in additional costs.</w:t>
            </w:r>
          </w:p>
        </w:tc>
        <w:tc>
          <w:tcPr>
            <w:tcW w:w="0" w:type="auto"/>
          </w:tcPr>
          <w:p w14:paraId="763D2285" w14:textId="77777777" w:rsidR="00FE37DB" w:rsidRPr="00A20A17" w:rsidRDefault="00FE37DB" w:rsidP="00A80B48">
            <w:pPr>
              <w:numPr>
                <w:ilvl w:val="0"/>
                <w:numId w:val="8"/>
              </w:numPr>
              <w:spacing w:before="60" w:after="60" w:line="240" w:lineRule="auto"/>
              <w:rPr>
                <w:rFonts w:ascii="Calibri" w:eastAsia="Calibri" w:hAnsi="Calibri" w:cs="Arial"/>
                <w:sz w:val="18"/>
                <w:szCs w:val="18"/>
              </w:rPr>
            </w:pPr>
            <w:r w:rsidRPr="00A20A17">
              <w:rPr>
                <w:rFonts w:ascii="Calibri" w:eastAsia="Calibri" w:hAnsi="Calibri" w:cs="Arial"/>
                <w:sz w:val="18"/>
                <w:szCs w:val="18"/>
              </w:rPr>
              <w:t xml:space="preserve">In addition to causing earlier onset of cases of diabetes type 2, statins cause additional cases of diabetes, with implications for costs and quality-adjusted life expectancy as per the scenario in the cost-effectiveness analysis informing NICE CG181 </w:t>
            </w:r>
            <w:r w:rsidRPr="00A20A17">
              <w:rPr>
                <w:rFonts w:ascii="Calibri" w:eastAsia="Calibri" w:hAnsi="Calibri" w:cs="Arial"/>
                <w:sz w:val="18"/>
                <w:szCs w:val="18"/>
              </w:rPr>
              <w:fldChar w:fldCharType="begin"/>
            </w:r>
            <w:r w:rsidRPr="00A20A17">
              <w:rPr>
                <w:rFonts w:ascii="Calibri" w:eastAsia="Calibri" w:hAnsi="Calibri" w:cs="Arial"/>
                <w:sz w:val="18"/>
                <w:szCs w:val="18"/>
              </w:rPr>
              <w:instrText xml:space="preserve"> ADDIN EN.CITE &lt;EndNote&gt;&lt;Cite&gt;&lt;Author&gt;NICE&lt;/Author&gt;&lt;Year&gt;2014&lt;/Year&gt;&lt;IDText&gt;Clinical guideline 181. Lipid modification: cardiovascular risk assessment and the modification of blood lipids for the primary and secondary prevention of cardiovascular disease&lt;/IDText&gt;&lt;DisplayText&gt;&lt;style face="superscript"&gt;12&lt;/style&gt;&lt;/DisplayText&gt;&lt;record&gt;&lt;titles&gt;&lt;title&gt;Clinical guideline 181. Lipid modification: cardiovascular risk assessment and the modification of blood lipids for the primary and secondary prevention of cardiovascular disease&lt;/title&gt;&lt;short-title&gt;Clinical guideline 181. Lipid modification: cardiovascular risk assessment and the modification of blood lipids for the primary and secondary prevention of cardiovascular disease&lt;/short-title&gt;&lt;/titles&gt;&lt;contributors&gt;&lt;authors&gt;&lt;author&gt;NICE&lt;/author&gt;&lt;/authors&gt;&lt;/contributors&gt;&lt;added-date format="utc"&gt;1603453281&lt;/added-date&gt;&lt;ref-type name="Report"&gt;27&lt;/ref-type&gt;&lt;dates&gt;&lt;year&gt;2014&lt;/year&gt;&lt;/dates&gt;&lt;rec-number&gt;62&lt;/rec-number&gt;&lt;last-updated-date format="utc"&gt;1603453281&lt;/last-updated-date&gt;&lt;/record&gt;&lt;/Cite&gt;&lt;/EndNote&gt;</w:instrText>
            </w:r>
            <w:r w:rsidRPr="00A20A17">
              <w:rPr>
                <w:rFonts w:ascii="Calibri" w:eastAsia="Calibri" w:hAnsi="Calibri" w:cs="Arial"/>
                <w:sz w:val="18"/>
                <w:szCs w:val="18"/>
              </w:rPr>
              <w:fldChar w:fldCharType="separate"/>
            </w:r>
            <w:r w:rsidRPr="00A20A17">
              <w:rPr>
                <w:rFonts w:ascii="Calibri" w:eastAsia="Calibri" w:hAnsi="Calibri" w:cs="Arial"/>
                <w:noProof/>
                <w:sz w:val="18"/>
                <w:szCs w:val="18"/>
                <w:vertAlign w:val="superscript"/>
              </w:rPr>
              <w:t>12</w:t>
            </w:r>
            <w:r w:rsidRPr="00A20A17">
              <w:rPr>
                <w:rFonts w:ascii="Calibri" w:eastAsia="Calibri" w:hAnsi="Calibri" w:cs="Arial"/>
                <w:sz w:val="18"/>
                <w:szCs w:val="18"/>
              </w:rPr>
              <w:fldChar w:fldCharType="end"/>
            </w:r>
            <w:r w:rsidRPr="00A20A17">
              <w:rPr>
                <w:rFonts w:ascii="Calibri" w:eastAsia="Calibri" w:hAnsi="Calibri" w:cs="Arial"/>
                <w:sz w:val="18"/>
                <w:szCs w:val="18"/>
              </w:rPr>
              <w:t xml:space="preserve">,  updated to 2019 </w:t>
            </w:r>
            <w:r w:rsidRPr="00A20A17">
              <w:rPr>
                <w:rFonts w:ascii="Calibri" w:eastAsia="Calibri" w:hAnsi="Calibri" w:cs="Arial"/>
                <w:sz w:val="18"/>
                <w:szCs w:val="18"/>
              </w:rPr>
              <w:fldChar w:fldCharType="begin"/>
            </w:r>
            <w:r w:rsidRPr="00A20A17">
              <w:rPr>
                <w:rFonts w:ascii="Calibri" w:eastAsia="Calibri" w:hAnsi="Calibri" w:cs="Arial"/>
                <w:sz w:val="18"/>
                <w:szCs w:val="18"/>
              </w:rPr>
              <w:instrText xml:space="preserve"> ADDIN EN.CITE &lt;EndNote&gt;&lt;Cite&gt;&lt;Author&gt;NHS England and NHS Improvement&lt;/Author&gt;&lt;Year&gt;2020&lt;/Year&gt;&lt;IDText&gt;National schedule of NHS costs 2019&lt;/IDText&gt;&lt;DisplayText&gt;&lt;style face="superscript"&gt;20,21&lt;/style&gt;&lt;/DisplayText&gt;&lt;record&gt;&lt;urls&gt;&lt;related-urls&gt;&lt;url&gt;https://www.england.nhs.uk/wp-content/uploads/2020/08/2_-_National_schedule_of_NHS_costs_V2.xlsx&lt;/url&gt;&lt;/related-urls&gt;&lt;/urls&gt;&lt;titles&gt;&lt;title&gt;National schedule of NHS costs 2019&lt;/title&gt;&lt;/titles&gt;&lt;access-date&gt;24/05/2021&lt;/access-date&gt;&lt;contributors&gt;&lt;authors&gt;&lt;author&gt;NHS England and NHS Improvement,&lt;/author&gt;&lt;/authors&gt;&lt;/contributors&gt;&lt;added-date format="utc"&gt;1621867475&lt;/added-date&gt;&lt;ref-type name="Dataset"&gt;59&lt;/ref-type&gt;&lt;dates&gt;&lt;year&gt;2020&lt;/year&gt;&lt;/dates&gt;&lt;rec-number&gt;194&lt;/rec-number&gt;&lt;last-updated-date format="utc"&gt;1621867475&lt;/last-updated-date&gt;&lt;/record&gt;&lt;/Cite&gt;&lt;Cite&gt;&lt;Author&gt;Curtis&lt;/Author&gt;&lt;Year&gt;2019&lt;/Year&gt;&lt;IDText&gt;Unit Costs of Health and Social Care 2019&lt;/IDText&gt;&lt;record&gt;&lt;titles&gt;&lt;title&gt;Unit Costs of Health and Social Care 2019&lt;/title&gt;&lt;/titles&gt;&lt;contributors&gt;&lt;authors&gt;&lt;author&gt;Curtis, L.&lt;/author&gt;&lt;author&gt;Burns, A.&lt;/author&gt;&lt;/authors&gt;&lt;/contributors&gt;&lt;added-date format="utc"&gt;1621867475&lt;/added-date&gt;&lt;pub-location&gt;Canterbury&lt;/pub-location&gt;&lt;ref-type name="Book"&gt;6&lt;/ref-type&gt;&lt;dates&gt;&lt;year&gt;2019&lt;/year&gt;&lt;/dates&gt;&lt;rec-number&gt;192&lt;/rec-number&gt;&lt;publisher&gt;Personal Social Services Research Unit, University of Kent&lt;/publisher&gt;&lt;last-updated-date format="utc"&gt;1621867475&lt;/last-updated-date&gt;&lt;electronic-resource-num&gt;10.22024/UniKent/01.02.79286&lt;/electronic-resource-num&gt;&lt;/record&gt;&lt;/Cite&gt;&lt;/EndNote&gt;</w:instrText>
            </w:r>
            <w:r w:rsidRPr="00A20A17">
              <w:rPr>
                <w:rFonts w:ascii="Calibri" w:eastAsia="Calibri" w:hAnsi="Calibri" w:cs="Arial"/>
                <w:sz w:val="18"/>
                <w:szCs w:val="18"/>
              </w:rPr>
              <w:fldChar w:fldCharType="separate"/>
            </w:r>
            <w:r w:rsidRPr="00A20A17">
              <w:rPr>
                <w:rFonts w:ascii="Calibri" w:eastAsia="Calibri" w:hAnsi="Calibri" w:cs="Arial"/>
                <w:noProof/>
                <w:sz w:val="18"/>
                <w:szCs w:val="18"/>
                <w:vertAlign w:val="superscript"/>
              </w:rPr>
              <w:t>20,21</w:t>
            </w:r>
            <w:r w:rsidRPr="00A20A17">
              <w:rPr>
                <w:rFonts w:ascii="Calibri" w:eastAsia="Calibri" w:hAnsi="Calibri" w:cs="Arial"/>
                <w:sz w:val="18"/>
                <w:szCs w:val="18"/>
              </w:rPr>
              <w:fldChar w:fldCharType="end"/>
            </w:r>
            <w:r w:rsidRPr="00A20A17">
              <w:rPr>
                <w:rFonts w:ascii="Calibri" w:eastAsia="Calibri" w:hAnsi="Calibri" w:cs="Arial"/>
                <w:sz w:val="18"/>
                <w:szCs w:val="18"/>
              </w:rPr>
              <w:t>.</w:t>
            </w:r>
          </w:p>
        </w:tc>
        <w:tc>
          <w:tcPr>
            <w:tcW w:w="0" w:type="auto"/>
          </w:tcPr>
          <w:p w14:paraId="2262479F"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 xml:space="preserve">We follow the assumptions made for the base-case and scenario analysis of NICE CG181 for adverse effects of LLT </w:t>
            </w:r>
            <w:r w:rsidRPr="00A20A17">
              <w:rPr>
                <w:rFonts w:ascii="Calibri" w:eastAsia="Calibri" w:hAnsi="Calibri" w:cs="Arial"/>
                <w:sz w:val="18"/>
                <w:szCs w:val="18"/>
              </w:rPr>
              <w:fldChar w:fldCharType="begin"/>
            </w:r>
            <w:r w:rsidRPr="00A20A17">
              <w:rPr>
                <w:rFonts w:ascii="Calibri" w:eastAsia="Calibri" w:hAnsi="Calibri" w:cs="Arial"/>
                <w:sz w:val="18"/>
                <w:szCs w:val="18"/>
              </w:rPr>
              <w:instrText xml:space="preserve"> ADDIN EN.CITE &lt;EndNote&gt;&lt;Cite&gt;&lt;Author&gt;NICE&lt;/Author&gt;&lt;Year&gt;2014&lt;/Year&gt;&lt;IDText&gt;Clinical guideline 181. Lipid modification: cardiovascular risk assessment and the modification of blood lipids for the primary and secondary prevention of cardiovascular disease&lt;/IDText&gt;&lt;DisplayText&gt;&lt;style face="superscript"&gt;12&lt;/style&gt;&lt;/DisplayText&gt;&lt;record&gt;&lt;titles&gt;&lt;title&gt;Clinical guideline 181. Lipid modification: cardiovascular risk assessment and the modification of blood lipids for the primary and secondary prevention of cardiovascular disease&lt;/title&gt;&lt;short-title&gt;Clinical guideline 181. Lipid modification: cardiovascular risk assessment and the modification of blood lipids for the primary and secondary prevention of cardiovascular disease&lt;/short-title&gt;&lt;/titles&gt;&lt;contributors&gt;&lt;authors&gt;&lt;author&gt;NICE&lt;/author&gt;&lt;/authors&gt;&lt;/contributors&gt;&lt;added-date format="utc"&gt;1603453281&lt;/added-date&gt;&lt;ref-type name="Report"&gt;27&lt;/ref-type&gt;&lt;dates&gt;&lt;year&gt;2014&lt;/year&gt;&lt;/dates&gt;&lt;rec-number&gt;62&lt;/rec-number&gt;&lt;last-updated-date format="utc"&gt;1603453281&lt;/last-updated-date&gt;&lt;/record&gt;&lt;/Cite&gt;&lt;/EndNote&gt;</w:instrText>
            </w:r>
            <w:r w:rsidRPr="00A20A17">
              <w:rPr>
                <w:rFonts w:ascii="Calibri" w:eastAsia="Calibri" w:hAnsi="Calibri" w:cs="Arial"/>
                <w:sz w:val="18"/>
                <w:szCs w:val="18"/>
              </w:rPr>
              <w:fldChar w:fldCharType="separate"/>
            </w:r>
            <w:r w:rsidRPr="00A20A17">
              <w:rPr>
                <w:rFonts w:ascii="Calibri" w:eastAsia="Calibri" w:hAnsi="Calibri" w:cs="Arial"/>
                <w:noProof/>
                <w:sz w:val="18"/>
                <w:szCs w:val="18"/>
                <w:vertAlign w:val="superscript"/>
              </w:rPr>
              <w:t>12</w:t>
            </w:r>
            <w:r w:rsidRPr="00A20A17">
              <w:rPr>
                <w:rFonts w:ascii="Calibri" w:eastAsia="Calibri" w:hAnsi="Calibri" w:cs="Arial"/>
                <w:sz w:val="18"/>
                <w:szCs w:val="18"/>
              </w:rPr>
              <w:fldChar w:fldCharType="end"/>
            </w:r>
            <w:r w:rsidRPr="00A20A17">
              <w:rPr>
                <w:rFonts w:ascii="Calibri" w:eastAsia="Calibri" w:hAnsi="Calibri" w:cs="Arial"/>
                <w:sz w:val="18"/>
                <w:szCs w:val="18"/>
              </w:rPr>
              <w:t>.</w:t>
            </w:r>
          </w:p>
        </w:tc>
      </w:tr>
      <w:tr w:rsidR="00FE37DB" w:rsidRPr="00A20A17" w14:paraId="131235A9" w14:textId="77777777" w:rsidTr="00A80B48">
        <w:tc>
          <w:tcPr>
            <w:tcW w:w="0" w:type="auto"/>
            <w:gridSpan w:val="3"/>
            <w:shd w:val="clear" w:color="auto" w:fill="E7E6E6"/>
          </w:tcPr>
          <w:p w14:paraId="6D7A977B"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Scenarios on the risk of the first CV event</w:t>
            </w:r>
          </w:p>
        </w:tc>
      </w:tr>
      <w:tr w:rsidR="00FE37DB" w:rsidRPr="00A20A17" w14:paraId="0986209A" w14:textId="77777777" w:rsidTr="00A80B48">
        <w:tc>
          <w:tcPr>
            <w:tcW w:w="0" w:type="auto"/>
          </w:tcPr>
          <w:p w14:paraId="3CA13E21" w14:textId="77777777" w:rsidR="00FE37DB" w:rsidRPr="00A20A17" w:rsidRDefault="00FE37DB" w:rsidP="00A80B48">
            <w:pPr>
              <w:spacing w:before="60" w:after="60" w:line="240" w:lineRule="auto"/>
              <w:rPr>
                <w:rFonts w:ascii="Calibri" w:eastAsia="Calibri" w:hAnsi="Calibri" w:cs="Arial"/>
                <w:b/>
                <w:bCs/>
                <w:sz w:val="18"/>
                <w:szCs w:val="18"/>
              </w:rPr>
            </w:pPr>
            <w:r w:rsidRPr="00A20A17">
              <w:rPr>
                <w:rFonts w:ascii="Calibri" w:eastAsia="Calibri" w:hAnsi="Calibri" w:cs="Arial"/>
                <w:b/>
                <w:bCs/>
                <w:sz w:val="18"/>
                <w:szCs w:val="18"/>
              </w:rPr>
              <w:t>Individuals are at risk of CV events, hence experience the benefits of treatment, from 25 years of age.</w:t>
            </w:r>
          </w:p>
        </w:tc>
        <w:tc>
          <w:tcPr>
            <w:tcW w:w="0" w:type="auto"/>
          </w:tcPr>
          <w:p w14:paraId="10D95880" w14:textId="77777777" w:rsidR="00FE37DB" w:rsidRPr="00A20A17" w:rsidRDefault="00FE37DB" w:rsidP="00A80B48">
            <w:pPr>
              <w:numPr>
                <w:ilvl w:val="0"/>
                <w:numId w:val="8"/>
              </w:numPr>
              <w:spacing w:before="60" w:after="60" w:line="240" w:lineRule="auto"/>
              <w:rPr>
                <w:rFonts w:ascii="Calibri" w:eastAsia="Calibri" w:hAnsi="Calibri" w:cs="Arial"/>
                <w:sz w:val="18"/>
                <w:szCs w:val="18"/>
              </w:rPr>
            </w:pPr>
            <w:r w:rsidRPr="00A20A17">
              <w:rPr>
                <w:rFonts w:ascii="Calibri" w:eastAsia="Calibri" w:hAnsi="Calibri" w:cs="Arial"/>
                <w:sz w:val="18"/>
                <w:szCs w:val="18"/>
              </w:rPr>
              <w:t xml:space="preserve">Individuals are at risk of CV events from age 35, as per Perak et al </w:t>
            </w:r>
            <w:r w:rsidRPr="00A20A17">
              <w:rPr>
                <w:rFonts w:ascii="Calibri" w:eastAsia="Calibri" w:hAnsi="Calibri" w:cs="Arial"/>
                <w:sz w:val="18"/>
                <w:szCs w:val="18"/>
              </w:rPr>
              <w:fldChar w:fldCharType="begin"/>
            </w:r>
            <w:r w:rsidRPr="00A20A17">
              <w:rPr>
                <w:rFonts w:ascii="Calibri" w:eastAsia="Calibri" w:hAnsi="Calibri" w:cs="Arial"/>
                <w:sz w:val="18"/>
                <w:szCs w:val="18"/>
              </w:rPr>
              <w:instrText xml:space="preserve"> ADDIN EN.CITE &lt;EndNote&gt;&lt;Cite&gt;&lt;Author&gt;Perak&lt;/Author&gt;&lt;Year&gt;2016&lt;/Year&gt;&lt;IDText&gt;Long-Term Risk of Atherosclerotic Cardiovascular Disease in US Adults With the Familial Hypercholesterolemia Phenotype&lt;/IDText&gt;&lt;DisplayText&gt;&lt;style face="superscript"&gt;15&lt;/style&gt;&lt;/DisplayText&gt;&lt;record&gt;&lt;dates&gt;&lt;pub-dates&gt;&lt;date&gt;Jul&lt;/date&gt;&lt;/pub-dates&gt;&lt;year&gt;2016&lt;/year&gt;&lt;/dates&gt;&lt;keywords&gt;&lt;keyword&gt;Adult&lt;/keyword&gt;&lt;keyword&gt;Aged&lt;/keyword&gt;&lt;keyword&gt;Atherosclerosis&lt;/keyword&gt;&lt;keyword&gt;Cholesterol, LDL&lt;/keyword&gt;&lt;keyword&gt;Cohort Studies&lt;/keyword&gt;&lt;keyword&gt;Female&lt;/keyword&gt;&lt;keyword&gt;Genotype&lt;/keyword&gt;&lt;keyword&gt;Humans&lt;/keyword&gt;&lt;keyword&gt;Hyperlipoproteinemia Type II&lt;/keyword&gt;&lt;keyword&gt;Lipids&lt;/keyword&gt;&lt;keyword&gt;Male&lt;/keyword&gt;&lt;keyword&gt;Middle Aged&lt;/keyword&gt;&lt;keyword&gt;Phenotype&lt;/keyword&gt;&lt;keyword&gt;Prevalence&lt;/keyword&gt;&lt;keyword&gt;Proportional Hazards Models&lt;/keyword&gt;&lt;keyword&gt;Risk&lt;/keyword&gt;&lt;keyword&gt;United States&lt;/keyword&gt;&lt;keyword&gt;Young Adult&lt;/keyword&gt;&lt;keyword&gt;coronary disease&lt;/keyword&gt;&lt;keyword&gt;epidemiology&lt;/keyword&gt;&lt;keyword&gt;hypercholesterolemia&lt;/keyword&gt;&lt;/keywords&gt;&lt;urls&gt;&lt;related-urls&gt;&lt;url&gt;https://www.ncbi.nlm.nih.gov/pubmed/27358432&lt;/url&gt;&lt;/related-urls&gt;&lt;/urls&gt;&lt;isbn&gt;1524-4539&lt;/isbn&gt;&lt;custom2&gt;PMC4933328&lt;/custom2&gt;&lt;titles&gt;&lt;title&gt;Long-Term Risk of Atherosclerotic Cardiovascular Disease in US Adults With the Familial Hypercholesterolemia Phenotype&lt;/title&gt;&lt;secondary-title&gt;Circulation&lt;/secondary-title&gt;&lt;/titles&gt;&lt;pages&gt;9-19&lt;/pages&gt;&lt;number&gt;1&lt;/number&gt;&lt;contributors&gt;&lt;authors&gt;&lt;author&gt;Perak, A. M.&lt;/author&gt;&lt;author&gt;Ning, H.&lt;/author&gt;&lt;author&gt;de Ferranti, S. D.&lt;/author&gt;&lt;author&gt;Gooding, H. C.&lt;/author&gt;&lt;author&gt;Wilkins, J. T.&lt;/author&gt;&lt;author&gt;Lloyd-Jones, D. M.&lt;/author&gt;&lt;/authors&gt;&lt;/contributors&gt;&lt;language&gt;eng&lt;/language&gt;&lt;added-date format="utc"&gt;1620658713&lt;/added-date&gt;&lt;ref-type name="Journal Article"&gt;17&lt;/ref-type&gt;&lt;rec-number&gt;141&lt;/rec-number&gt;&lt;last-updated-date format="utc"&gt;1620658713&lt;/last-updated-date&gt;&lt;accession-num&gt;27358432&lt;/accession-num&gt;&lt;electronic-resource-num&gt;10.1161/CIRCULATIONAHA.116.022335&lt;/electronic-resource-num&gt;&lt;volume&gt;134&lt;/volume&gt;&lt;/record&gt;&lt;/Cite&gt;&lt;/EndNote&gt;</w:instrText>
            </w:r>
            <w:r w:rsidRPr="00A20A17">
              <w:rPr>
                <w:rFonts w:ascii="Calibri" w:eastAsia="Calibri" w:hAnsi="Calibri" w:cs="Arial"/>
                <w:sz w:val="18"/>
                <w:szCs w:val="18"/>
              </w:rPr>
              <w:fldChar w:fldCharType="separate"/>
            </w:r>
            <w:r w:rsidRPr="00A20A17">
              <w:rPr>
                <w:rFonts w:ascii="Calibri" w:eastAsia="Calibri" w:hAnsi="Calibri" w:cs="Arial"/>
                <w:noProof/>
                <w:sz w:val="18"/>
                <w:szCs w:val="18"/>
                <w:vertAlign w:val="superscript"/>
              </w:rPr>
              <w:t>15</w:t>
            </w:r>
            <w:r w:rsidRPr="00A20A17">
              <w:rPr>
                <w:rFonts w:ascii="Calibri" w:eastAsia="Calibri" w:hAnsi="Calibri" w:cs="Arial"/>
                <w:sz w:val="18"/>
                <w:szCs w:val="18"/>
              </w:rPr>
              <w:fldChar w:fldCharType="end"/>
            </w:r>
            <w:r w:rsidRPr="00A20A17">
              <w:rPr>
                <w:rFonts w:ascii="Calibri" w:eastAsia="Calibri" w:hAnsi="Calibri" w:cs="Arial"/>
                <w:sz w:val="18"/>
                <w:szCs w:val="18"/>
              </w:rPr>
              <w:t>.</w:t>
            </w:r>
          </w:p>
        </w:tc>
        <w:tc>
          <w:tcPr>
            <w:tcW w:w="0" w:type="auto"/>
          </w:tcPr>
          <w:p w14:paraId="7D24D82D"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 xml:space="preserve">There is uncertainty in the age when individuals with FH are at risk of CV events. Perak et al suggests that individuals are at little risk from CV events until 35 years of age, hence we test this age in a scenario </w:t>
            </w:r>
            <w:r w:rsidRPr="00A20A17">
              <w:rPr>
                <w:rFonts w:ascii="Calibri" w:eastAsia="Calibri" w:hAnsi="Calibri" w:cs="Arial"/>
                <w:sz w:val="18"/>
                <w:szCs w:val="18"/>
              </w:rPr>
              <w:fldChar w:fldCharType="begin"/>
            </w:r>
            <w:r w:rsidRPr="00A20A17">
              <w:rPr>
                <w:rFonts w:ascii="Calibri" w:eastAsia="Calibri" w:hAnsi="Calibri" w:cs="Arial"/>
                <w:sz w:val="18"/>
                <w:szCs w:val="18"/>
              </w:rPr>
              <w:instrText xml:space="preserve"> ADDIN EN.CITE &lt;EndNote&gt;&lt;Cite&gt;&lt;Author&gt;Perak&lt;/Author&gt;&lt;Year&gt;2016&lt;/Year&gt;&lt;IDText&gt;Long-Term Risk of Atherosclerotic Cardiovascular Disease in US Adults With the Familial Hypercholesterolemia Phenotype&lt;/IDText&gt;&lt;DisplayText&gt;&lt;style face="superscript"&gt;15&lt;/style&gt;&lt;/DisplayText&gt;&lt;record&gt;&lt;dates&gt;&lt;pub-dates&gt;&lt;date&gt;Jul&lt;/date&gt;&lt;/pub-dates&gt;&lt;year&gt;2016&lt;/year&gt;&lt;/dates&gt;&lt;keywords&gt;&lt;keyword&gt;Adult&lt;/keyword&gt;&lt;keyword&gt;Aged&lt;/keyword&gt;&lt;keyword&gt;Atherosclerosis&lt;/keyword&gt;&lt;keyword&gt;Cholesterol, LDL&lt;/keyword&gt;&lt;keyword&gt;Cohort Studies&lt;/keyword&gt;&lt;keyword&gt;Female&lt;/keyword&gt;&lt;keyword&gt;Genotype&lt;/keyword&gt;&lt;keyword&gt;Humans&lt;/keyword&gt;&lt;keyword&gt;Hyperlipoproteinemia Type II&lt;/keyword&gt;&lt;keyword&gt;Lipids&lt;/keyword&gt;&lt;keyword&gt;Male&lt;/keyword&gt;&lt;keyword&gt;Middle Aged&lt;/keyword&gt;&lt;keyword&gt;Phenotype&lt;/keyword&gt;&lt;keyword&gt;Prevalence&lt;/keyword&gt;&lt;keyword&gt;Proportional Hazards Models&lt;/keyword&gt;&lt;keyword&gt;Risk&lt;/keyword&gt;&lt;keyword&gt;United States&lt;/keyword&gt;&lt;keyword&gt;Young Adult&lt;/keyword&gt;&lt;keyword&gt;coronary disease&lt;/keyword&gt;&lt;keyword&gt;epidemiology&lt;/keyword&gt;&lt;keyword&gt;hypercholesterolemia&lt;/keyword&gt;&lt;/keywords&gt;&lt;urls&gt;&lt;related-urls&gt;&lt;url&gt;https://www.ncbi.nlm.nih.gov/pubmed/27358432&lt;/url&gt;&lt;/related-urls&gt;&lt;/urls&gt;&lt;isbn&gt;1524-4539&lt;/isbn&gt;&lt;custom2&gt;PMC4933328&lt;/custom2&gt;&lt;titles&gt;&lt;title&gt;Long-Term Risk of Atherosclerotic Cardiovascular Disease in US Adults With the Familial Hypercholesterolemia Phenotype&lt;/title&gt;&lt;secondary-title&gt;Circulation&lt;/secondary-title&gt;&lt;/titles&gt;&lt;pages&gt;9-19&lt;/pages&gt;&lt;number&gt;1&lt;/number&gt;&lt;contributors&gt;&lt;authors&gt;&lt;author&gt;Perak, A. M.&lt;/author&gt;&lt;author&gt;Ning, H.&lt;/author&gt;&lt;author&gt;de Ferranti, S. D.&lt;/author&gt;&lt;author&gt;Gooding, H. C.&lt;/author&gt;&lt;author&gt;Wilkins, J. T.&lt;/author&gt;&lt;author&gt;Lloyd-Jones, D. M.&lt;/author&gt;&lt;/authors&gt;&lt;/contributors&gt;&lt;language&gt;eng&lt;/language&gt;&lt;added-date format="utc"&gt;1620658713&lt;/added-date&gt;&lt;ref-type name="Journal Article"&gt;17&lt;/ref-type&gt;&lt;rec-number&gt;141&lt;/rec-number&gt;&lt;last-updated-date format="utc"&gt;1620658713&lt;/last-updated-date&gt;&lt;accession-num&gt;27358432&lt;/accession-num&gt;&lt;electronic-resource-num&gt;10.1161/CIRCULATIONAHA.116.022335&lt;/electronic-resource-num&gt;&lt;volume&gt;134&lt;/volume&gt;&lt;/record&gt;&lt;/Cite&gt;&lt;/EndNote&gt;</w:instrText>
            </w:r>
            <w:r w:rsidRPr="00A20A17">
              <w:rPr>
                <w:rFonts w:ascii="Calibri" w:eastAsia="Calibri" w:hAnsi="Calibri" w:cs="Arial"/>
                <w:sz w:val="18"/>
                <w:szCs w:val="18"/>
              </w:rPr>
              <w:fldChar w:fldCharType="separate"/>
            </w:r>
            <w:r w:rsidRPr="00A20A17">
              <w:rPr>
                <w:rFonts w:ascii="Calibri" w:eastAsia="Calibri" w:hAnsi="Calibri" w:cs="Arial"/>
                <w:noProof/>
                <w:sz w:val="18"/>
                <w:szCs w:val="18"/>
                <w:vertAlign w:val="superscript"/>
              </w:rPr>
              <w:t>15</w:t>
            </w:r>
            <w:r w:rsidRPr="00A20A17">
              <w:rPr>
                <w:rFonts w:ascii="Calibri" w:eastAsia="Calibri" w:hAnsi="Calibri" w:cs="Arial"/>
                <w:sz w:val="18"/>
                <w:szCs w:val="18"/>
              </w:rPr>
              <w:fldChar w:fldCharType="end"/>
            </w:r>
            <w:r w:rsidRPr="00A20A17">
              <w:rPr>
                <w:rFonts w:ascii="Calibri" w:eastAsia="Calibri" w:hAnsi="Calibri" w:cs="Arial"/>
                <w:sz w:val="18"/>
                <w:szCs w:val="18"/>
              </w:rPr>
              <w:t>.</w:t>
            </w:r>
          </w:p>
        </w:tc>
      </w:tr>
      <w:tr w:rsidR="00FE37DB" w:rsidRPr="00A20A17" w14:paraId="278173D8" w14:textId="77777777" w:rsidTr="00A80B48">
        <w:tc>
          <w:tcPr>
            <w:tcW w:w="0" w:type="auto"/>
          </w:tcPr>
          <w:p w14:paraId="799D56EF" w14:textId="77777777" w:rsidR="00FE37DB" w:rsidRPr="00A20A17" w:rsidRDefault="00FE37DB" w:rsidP="00A80B48">
            <w:pPr>
              <w:spacing w:before="60" w:after="60" w:line="240" w:lineRule="auto"/>
              <w:rPr>
                <w:rFonts w:ascii="Calibri" w:eastAsia="Calibri" w:hAnsi="Calibri" w:cs="Arial"/>
                <w:b/>
                <w:bCs/>
                <w:sz w:val="18"/>
                <w:szCs w:val="18"/>
              </w:rPr>
            </w:pPr>
            <w:r w:rsidRPr="00A20A17">
              <w:rPr>
                <w:rFonts w:ascii="Calibri" w:eastAsia="Calibri" w:hAnsi="Calibri" w:cs="Arial"/>
                <w:b/>
                <w:bCs/>
                <w:sz w:val="18"/>
                <w:szCs w:val="18"/>
              </w:rPr>
              <w:t>The generalised gamma risk equation informs the risk of the first CV event</w:t>
            </w:r>
          </w:p>
        </w:tc>
        <w:tc>
          <w:tcPr>
            <w:tcW w:w="0" w:type="auto"/>
          </w:tcPr>
          <w:p w14:paraId="241D085C" w14:textId="77777777" w:rsidR="00FE37DB" w:rsidRPr="00A20A17" w:rsidRDefault="00FE37DB" w:rsidP="00A80B48">
            <w:pPr>
              <w:numPr>
                <w:ilvl w:val="0"/>
                <w:numId w:val="8"/>
              </w:numPr>
              <w:spacing w:before="60" w:after="60" w:line="240" w:lineRule="auto"/>
              <w:rPr>
                <w:rFonts w:ascii="Calibri" w:eastAsia="Calibri" w:hAnsi="Calibri" w:cs="Arial"/>
                <w:sz w:val="18"/>
                <w:szCs w:val="18"/>
              </w:rPr>
            </w:pPr>
            <w:r w:rsidRPr="00A20A17">
              <w:rPr>
                <w:rFonts w:ascii="Calibri" w:eastAsia="Calibri" w:hAnsi="Calibri" w:cs="Arial"/>
                <w:sz w:val="18"/>
                <w:szCs w:val="18"/>
              </w:rPr>
              <w:t>The exponential model informs the risk of CV events.</w:t>
            </w:r>
          </w:p>
        </w:tc>
        <w:tc>
          <w:tcPr>
            <w:tcW w:w="0" w:type="auto"/>
          </w:tcPr>
          <w:p w14:paraId="08D67CE1"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 xml:space="preserve">Although the best fitting model is the generalised gamma, the exponential model was considered a realistic alternative for long-term extrapolation as the generalized gamma predicted reductions in risk over time. </w:t>
            </w:r>
          </w:p>
        </w:tc>
      </w:tr>
      <w:tr w:rsidR="00FE37DB" w:rsidRPr="00A20A17" w14:paraId="7817E7FE" w14:textId="77777777" w:rsidTr="00A80B48">
        <w:tc>
          <w:tcPr>
            <w:tcW w:w="0" w:type="auto"/>
            <w:vMerge w:val="restart"/>
          </w:tcPr>
          <w:p w14:paraId="2C45F079" w14:textId="77777777" w:rsidR="00FE37DB" w:rsidRPr="00A20A17" w:rsidRDefault="00FE37DB" w:rsidP="00A80B48">
            <w:pPr>
              <w:spacing w:before="60" w:after="60" w:line="240" w:lineRule="auto"/>
              <w:rPr>
                <w:rFonts w:ascii="Calibri" w:eastAsia="Calibri" w:hAnsi="Calibri" w:cs="Arial"/>
                <w:b/>
                <w:bCs/>
                <w:sz w:val="18"/>
                <w:szCs w:val="18"/>
              </w:rPr>
            </w:pPr>
            <w:r w:rsidRPr="00A20A17">
              <w:rPr>
                <w:rFonts w:ascii="Calibri" w:eastAsia="Calibri" w:hAnsi="Calibri" w:cs="Arial"/>
                <w:b/>
                <w:bCs/>
                <w:sz w:val="18"/>
                <w:szCs w:val="18"/>
              </w:rPr>
              <w:t xml:space="preserve">The risk of the first CV event in the long-term is based on the risk equations estimated from the CPRD cohort, adjusted upwards with hazard ratios calculated from Perak et al </w:t>
            </w:r>
            <w:r w:rsidRPr="00A20A17">
              <w:rPr>
                <w:rFonts w:ascii="Calibri" w:eastAsia="Calibri" w:hAnsi="Calibri" w:cs="Arial"/>
                <w:sz w:val="18"/>
                <w:szCs w:val="18"/>
              </w:rPr>
              <w:fldChar w:fldCharType="begin"/>
            </w:r>
            <w:r w:rsidRPr="00A20A17">
              <w:rPr>
                <w:rFonts w:ascii="Calibri" w:eastAsia="Calibri" w:hAnsi="Calibri" w:cs="Arial"/>
                <w:sz w:val="18"/>
                <w:szCs w:val="18"/>
              </w:rPr>
              <w:instrText xml:space="preserve"> ADDIN EN.CITE &lt;EndNote&gt;&lt;Cite&gt;&lt;Author&gt;Perak&lt;/Author&gt;&lt;Year&gt;2016&lt;/Year&gt;&lt;IDText&gt;Long-Term Risk of Atherosclerotic Cardiovascular Disease in US Adults With the Familial Hypercholesterolemia Phenotype&lt;/IDText&gt;&lt;DisplayText&gt;&lt;style face="superscript"&gt;15&lt;/style&gt;&lt;/DisplayText&gt;&lt;record&gt;&lt;dates&gt;&lt;pub-dates&gt;&lt;date&gt;Jul&lt;/date&gt;&lt;/pub-dates&gt;&lt;year&gt;2016&lt;/year&gt;&lt;/dates&gt;&lt;keywords&gt;&lt;keyword&gt;Adult&lt;/keyword&gt;&lt;keyword&gt;Aged&lt;/keyword&gt;&lt;keyword&gt;Atherosclerosis&lt;/keyword&gt;&lt;keyword&gt;Cholesterol, LDL&lt;/keyword&gt;&lt;keyword&gt;Cohort Studies&lt;/keyword&gt;&lt;keyword&gt;Female&lt;/keyword&gt;&lt;keyword&gt;Genotype&lt;/keyword&gt;&lt;keyword&gt;Humans&lt;/keyword&gt;&lt;keyword&gt;Hyperlipoproteinemia Type II&lt;/keyword&gt;&lt;keyword&gt;Lipids&lt;/keyword&gt;&lt;keyword&gt;Male&lt;/keyword&gt;&lt;keyword&gt;Middle Aged&lt;/keyword&gt;&lt;keyword&gt;Phenotype&lt;/keyword&gt;&lt;keyword&gt;Prevalence&lt;/keyword&gt;&lt;keyword&gt;Proportional Hazards Models&lt;/keyword&gt;&lt;keyword&gt;Risk&lt;/keyword&gt;&lt;keyword&gt;United States&lt;/keyword&gt;&lt;keyword&gt;Young Adult&lt;/keyword&gt;&lt;keyword&gt;coronary disease&lt;/keyword&gt;&lt;keyword&gt;epidemiology&lt;/keyword&gt;&lt;keyword&gt;hypercholesterolemia&lt;/keyword&gt;&lt;/keywords&gt;&lt;urls&gt;&lt;related-urls&gt;&lt;url&gt;https://www.ncbi.nlm.nih.gov/pubmed/27358432&lt;/url&gt;&lt;/related-urls&gt;&lt;/urls&gt;&lt;isbn&gt;1524-4539&lt;/isbn&gt;&lt;custom2&gt;PMC4933328&lt;/custom2&gt;&lt;titles&gt;&lt;title&gt;Long-Term Risk of Atherosclerotic Cardiovascular Disease in US Adults With the Familial Hypercholesterolemia Phenotype&lt;/title&gt;&lt;secondary-title&gt;Circulation&lt;/secondary-title&gt;&lt;/titles&gt;&lt;pages&gt;9-19&lt;/pages&gt;&lt;number&gt;1&lt;/number&gt;&lt;contributors&gt;&lt;authors&gt;&lt;author&gt;Perak, A. M.&lt;/author&gt;&lt;author&gt;Ning, H.&lt;/author&gt;&lt;author&gt;de Ferranti, S. D.&lt;/author&gt;&lt;author&gt;Gooding, H. C.&lt;/author&gt;&lt;author&gt;Wilkins, J. T.&lt;/author&gt;&lt;author&gt;Lloyd-Jones, D. M.&lt;/author&gt;&lt;/authors&gt;&lt;/contributors&gt;&lt;language&gt;eng&lt;/language&gt;&lt;added-date format="utc"&gt;1620658713&lt;/added-date&gt;&lt;ref-type name="Journal Article"&gt;17&lt;/ref-type&gt;&lt;rec-number&gt;141&lt;/rec-number&gt;&lt;last-updated-date format="utc"&gt;1620658713&lt;/last-updated-date&gt;&lt;accession-num&gt;27358432&lt;/accession-num&gt;&lt;electronic-resource-num&gt;10.1161/CIRCULATIONAHA.116.022335&lt;/electronic-resource-num&gt;&lt;volume&gt;134&lt;/volume&gt;&lt;/record&gt;&lt;/Cite&gt;&lt;/EndNote&gt;</w:instrText>
            </w:r>
            <w:r w:rsidRPr="00A20A17">
              <w:rPr>
                <w:rFonts w:ascii="Calibri" w:eastAsia="Calibri" w:hAnsi="Calibri" w:cs="Arial"/>
                <w:sz w:val="18"/>
                <w:szCs w:val="18"/>
              </w:rPr>
              <w:fldChar w:fldCharType="separate"/>
            </w:r>
            <w:r w:rsidRPr="00A20A17">
              <w:rPr>
                <w:rFonts w:ascii="Calibri" w:eastAsia="Calibri" w:hAnsi="Calibri" w:cs="Arial"/>
                <w:noProof/>
                <w:sz w:val="18"/>
                <w:szCs w:val="18"/>
                <w:vertAlign w:val="superscript"/>
              </w:rPr>
              <w:t>15</w:t>
            </w:r>
            <w:r w:rsidRPr="00A20A17">
              <w:rPr>
                <w:rFonts w:ascii="Calibri" w:eastAsia="Calibri" w:hAnsi="Calibri" w:cs="Arial"/>
                <w:sz w:val="18"/>
                <w:szCs w:val="18"/>
              </w:rPr>
              <w:fldChar w:fldCharType="end"/>
            </w:r>
            <w:r w:rsidRPr="00A20A17">
              <w:rPr>
                <w:rFonts w:ascii="Calibri" w:eastAsia="Calibri" w:hAnsi="Calibri" w:cs="Arial"/>
                <w:sz w:val="18"/>
                <w:szCs w:val="18"/>
              </w:rPr>
              <w:t>.</w:t>
            </w:r>
          </w:p>
        </w:tc>
        <w:tc>
          <w:tcPr>
            <w:tcW w:w="0" w:type="auto"/>
          </w:tcPr>
          <w:p w14:paraId="122724FB" w14:textId="77777777" w:rsidR="00FE37DB" w:rsidRPr="00A20A17" w:rsidRDefault="00FE37DB" w:rsidP="00A80B48">
            <w:pPr>
              <w:numPr>
                <w:ilvl w:val="0"/>
                <w:numId w:val="8"/>
              </w:numPr>
              <w:spacing w:before="60" w:after="60" w:line="240" w:lineRule="auto"/>
              <w:rPr>
                <w:rFonts w:ascii="Calibri" w:eastAsia="Calibri" w:hAnsi="Calibri" w:cs="Arial"/>
                <w:sz w:val="18"/>
                <w:szCs w:val="18"/>
              </w:rPr>
            </w:pPr>
            <w:r w:rsidRPr="00A20A17">
              <w:rPr>
                <w:rFonts w:ascii="Calibri" w:eastAsia="Calibri" w:hAnsi="Calibri" w:cs="Arial"/>
                <w:sz w:val="18"/>
                <w:szCs w:val="18"/>
              </w:rPr>
              <w:t xml:space="preserve">The risk of the first CV event after 10 years is based on the risk equations estimated from the CPRD cohort, without the upwards adjustment.  </w:t>
            </w:r>
          </w:p>
        </w:tc>
        <w:tc>
          <w:tcPr>
            <w:tcW w:w="0" w:type="auto"/>
          </w:tcPr>
          <w:p w14:paraId="02C26E8E"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 xml:space="preserve">There is uncertainty in the risk beyond 10 years, with the estimates obtained from the CPRD cohort (without adjustment) being a conservative estimate. </w:t>
            </w:r>
          </w:p>
        </w:tc>
      </w:tr>
      <w:tr w:rsidR="00FE37DB" w:rsidRPr="00A20A17" w14:paraId="1448BD8C" w14:textId="77777777" w:rsidTr="00A80B48">
        <w:tc>
          <w:tcPr>
            <w:tcW w:w="0" w:type="auto"/>
            <w:vMerge/>
          </w:tcPr>
          <w:p w14:paraId="482BF423" w14:textId="77777777" w:rsidR="00FE37DB" w:rsidRPr="00A20A17" w:rsidRDefault="00FE37DB" w:rsidP="00A80B48">
            <w:pPr>
              <w:spacing w:before="60" w:after="60" w:line="240" w:lineRule="auto"/>
              <w:rPr>
                <w:rFonts w:ascii="Calibri" w:eastAsia="Calibri" w:hAnsi="Calibri" w:cs="Arial"/>
                <w:b/>
                <w:bCs/>
                <w:sz w:val="18"/>
                <w:szCs w:val="18"/>
              </w:rPr>
            </w:pPr>
          </w:p>
        </w:tc>
        <w:tc>
          <w:tcPr>
            <w:tcW w:w="0" w:type="auto"/>
            <w:shd w:val="clear" w:color="auto" w:fill="auto"/>
          </w:tcPr>
          <w:p w14:paraId="5941ACAB" w14:textId="77777777" w:rsidR="00FE37DB" w:rsidRPr="00A20A17" w:rsidRDefault="00FE37DB" w:rsidP="00A80B48">
            <w:pPr>
              <w:numPr>
                <w:ilvl w:val="0"/>
                <w:numId w:val="8"/>
              </w:numPr>
              <w:spacing w:before="60" w:after="60" w:line="240" w:lineRule="auto"/>
              <w:rPr>
                <w:rFonts w:ascii="Calibri" w:eastAsia="Calibri" w:hAnsi="Calibri" w:cs="Arial"/>
                <w:sz w:val="18"/>
                <w:szCs w:val="18"/>
              </w:rPr>
            </w:pPr>
            <w:r w:rsidRPr="00A20A17">
              <w:rPr>
                <w:rFonts w:ascii="Calibri" w:eastAsia="Calibri" w:hAnsi="Calibri" w:cs="Arial"/>
                <w:sz w:val="18"/>
                <w:szCs w:val="18"/>
              </w:rPr>
              <w:t xml:space="preserve">The risk of the first CV event is adjusted upwards with the standardised mortality ratio obtained from comparing the Simon Broome cohort with the general population mortality risk, and assuming that this ratio can be applied to the hazard rate </w:t>
            </w:r>
            <w:r w:rsidRPr="00A20A17">
              <w:rPr>
                <w:rFonts w:ascii="Calibri" w:eastAsia="Calibri" w:hAnsi="Calibri" w:cs="Arial"/>
                <w:sz w:val="18"/>
                <w:szCs w:val="18"/>
              </w:rPr>
              <w:fldChar w:fldCharType="begin">
                <w:fldData xml:space="preserve">PEVuZE5vdGU+PENpdGU+PEF1dGhvcj5IdW1waHJpZXM8L0F1dGhvcj48WWVhcj4yMDE4PC9ZZWFy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</w:fldData>
              </w:fldChar>
            </w:r>
            <w:r w:rsidRPr="00A20A17">
              <w:rPr>
                <w:rFonts w:ascii="Calibri" w:eastAsia="Calibri" w:hAnsi="Calibri" w:cs="Arial"/>
                <w:sz w:val="18"/>
                <w:szCs w:val="18"/>
              </w:rPr>
              <w:instrText xml:space="preserve"> ADDIN EN.CITE </w:instrText>
            </w:r>
            <w:r w:rsidRPr="00A20A17">
              <w:rPr>
                <w:rFonts w:ascii="Calibri" w:eastAsia="Calibri" w:hAnsi="Calibri" w:cs="Arial"/>
                <w:sz w:val="18"/>
                <w:szCs w:val="18"/>
              </w:rPr>
              <w:fldChar w:fldCharType="begin">
                <w:fldData xml:space="preserve">PEVuZE5vdGU+PENpdGU+PEF1dGhvcj5IdW1waHJpZXM8L0F1dGhvcj48WWVhcj4yMDE4PC9ZZWFy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</w:fldData>
              </w:fldChar>
            </w:r>
            <w:r w:rsidRPr="00A20A17">
              <w:rPr>
                <w:rFonts w:ascii="Calibri" w:eastAsia="Calibri" w:hAnsi="Calibri" w:cs="Arial"/>
                <w:sz w:val="18"/>
                <w:szCs w:val="18"/>
              </w:rPr>
              <w:instrText xml:space="preserve"> ADDIN EN.CITE.DATA </w:instrText>
            </w:r>
            <w:r w:rsidRPr="00A20A17">
              <w:rPr>
                <w:rFonts w:ascii="Calibri" w:eastAsia="Calibri" w:hAnsi="Calibri" w:cs="Arial"/>
                <w:sz w:val="18"/>
                <w:szCs w:val="18"/>
              </w:rPr>
            </w:r>
            <w:r w:rsidRPr="00A20A17">
              <w:rPr>
                <w:rFonts w:ascii="Calibri" w:eastAsia="Calibri" w:hAnsi="Calibri" w:cs="Arial"/>
                <w:sz w:val="18"/>
                <w:szCs w:val="18"/>
              </w:rPr>
              <w:fldChar w:fldCharType="end"/>
            </w:r>
            <w:r w:rsidRPr="00A20A17">
              <w:rPr>
                <w:rFonts w:ascii="Calibri" w:eastAsia="Calibri" w:hAnsi="Calibri" w:cs="Arial"/>
                <w:sz w:val="18"/>
                <w:szCs w:val="18"/>
              </w:rPr>
            </w:r>
            <w:r w:rsidRPr="00A20A17">
              <w:rPr>
                <w:rFonts w:ascii="Calibri" w:eastAsia="Calibri" w:hAnsi="Calibri" w:cs="Arial"/>
                <w:sz w:val="18"/>
                <w:szCs w:val="18"/>
              </w:rPr>
              <w:fldChar w:fldCharType="separate"/>
            </w:r>
            <w:r w:rsidRPr="00A20A17">
              <w:rPr>
                <w:rFonts w:ascii="Calibri" w:eastAsia="Calibri" w:hAnsi="Calibri" w:cs="Arial"/>
                <w:noProof/>
                <w:sz w:val="18"/>
                <w:szCs w:val="18"/>
                <w:vertAlign w:val="superscript"/>
              </w:rPr>
              <w:t>26</w:t>
            </w:r>
            <w:r w:rsidRPr="00A20A17">
              <w:rPr>
                <w:rFonts w:ascii="Calibri" w:eastAsia="Calibri" w:hAnsi="Calibri" w:cs="Arial"/>
                <w:sz w:val="18"/>
                <w:szCs w:val="18"/>
              </w:rPr>
              <w:fldChar w:fldCharType="end"/>
            </w:r>
            <w:r w:rsidRPr="00A20A17">
              <w:rPr>
                <w:rFonts w:ascii="Calibri" w:eastAsia="Calibri" w:hAnsi="Calibri" w:cs="Arial"/>
                <w:sz w:val="18"/>
                <w:szCs w:val="18"/>
              </w:rPr>
              <w:t>.</w:t>
            </w:r>
          </w:p>
        </w:tc>
        <w:tc>
          <w:tcPr>
            <w:tcW w:w="0" w:type="auto"/>
          </w:tcPr>
          <w:p w14:paraId="478A00AD"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There is uncertainty in whether the risk observed in the CPRD cohort represents the risk of individuals with FH in the long-term. The adjustment with the Simon Broome standardised mortality ratio represents a worst-case scenario.</w:t>
            </w:r>
          </w:p>
        </w:tc>
      </w:tr>
      <w:tr w:rsidR="00FE37DB" w:rsidRPr="00A20A17" w14:paraId="7D08B15D" w14:textId="77777777" w:rsidTr="00A80B48">
        <w:tc>
          <w:tcPr>
            <w:tcW w:w="0" w:type="auto"/>
          </w:tcPr>
          <w:p w14:paraId="459C6F63" w14:textId="77777777" w:rsidR="00FE37DB" w:rsidRPr="00A20A17" w:rsidRDefault="00FE37DB" w:rsidP="00A80B48">
            <w:pPr>
              <w:spacing w:before="60" w:after="60" w:line="240" w:lineRule="auto"/>
              <w:rPr>
                <w:rFonts w:ascii="Calibri" w:eastAsia="Calibri" w:hAnsi="Calibri" w:cs="Arial"/>
                <w:b/>
                <w:bCs/>
                <w:sz w:val="18"/>
                <w:szCs w:val="18"/>
              </w:rPr>
            </w:pPr>
            <w:r w:rsidRPr="00A20A17">
              <w:rPr>
                <w:rFonts w:ascii="Calibri" w:eastAsia="Calibri" w:hAnsi="Calibri" w:cs="Arial"/>
                <w:b/>
                <w:bCs/>
                <w:sz w:val="18"/>
                <w:szCs w:val="18"/>
              </w:rPr>
              <w:t>The probability of death due to the first CV event is the observed probability in the CPRD cohort irrespective of age at the event.</w:t>
            </w:r>
          </w:p>
        </w:tc>
        <w:tc>
          <w:tcPr>
            <w:tcW w:w="0" w:type="auto"/>
          </w:tcPr>
          <w:p w14:paraId="1D6A0667" w14:textId="77777777" w:rsidR="00FE37DB" w:rsidRPr="00A20A17" w:rsidRDefault="00FE37DB" w:rsidP="00A80B48">
            <w:pPr>
              <w:numPr>
                <w:ilvl w:val="0"/>
                <w:numId w:val="8"/>
              </w:numPr>
              <w:spacing w:before="60" w:after="60" w:line="240" w:lineRule="auto"/>
              <w:rPr>
                <w:rFonts w:ascii="Calibri" w:eastAsia="Calibri" w:hAnsi="Calibri" w:cs="Arial"/>
                <w:sz w:val="18"/>
                <w:szCs w:val="18"/>
              </w:rPr>
            </w:pPr>
            <w:r w:rsidRPr="00A20A17">
              <w:rPr>
                <w:rFonts w:ascii="Calibri" w:eastAsia="Calibri" w:hAnsi="Calibri" w:cs="Arial"/>
                <w:sz w:val="18"/>
                <w:szCs w:val="18"/>
              </w:rPr>
              <w:t xml:space="preserve">The probability of death due to the first CV event depends on age: lower for younger ages and larger for older ages, as inferred from the probability of death following acute myocardial infarction in the general population </w:t>
            </w:r>
            <w:r w:rsidRPr="00A20A17">
              <w:rPr>
                <w:rFonts w:ascii="Calibri" w:eastAsia="Calibri" w:hAnsi="Calibri" w:cs="Arial"/>
                <w:sz w:val="18"/>
                <w:szCs w:val="18"/>
              </w:rPr>
              <w:fldChar w:fldCharType="begin"/>
            </w:r>
            <w:r w:rsidRPr="00A20A17">
              <w:rPr>
                <w:rFonts w:ascii="Calibri" w:eastAsia="Calibri" w:hAnsi="Calibri" w:cs="Arial"/>
                <w:sz w:val="18"/>
                <w:szCs w:val="18"/>
              </w:rPr>
              <w:instrText xml:space="preserve"> ADDIN EN.CITE &lt;EndNote&gt;&lt;Cite&gt;&lt;Author&gt;Asaria&lt;/Author&gt;&lt;Year&gt;2017&lt;/Year&gt;&lt;IDText&gt;Acute myocardial infarction hospital admissions and deaths in England: a national follow-back and follow-forward record-linkage study&lt;/IDText&gt;&lt;DisplayText&gt;&lt;style face="superscript"&gt;27&lt;/style&gt;&lt;/DisplayText&gt;&lt;record&gt;&lt;dates&gt;&lt;pub-dates&gt;&lt;date&gt;04&lt;/date&gt;&lt;/pub-dates&gt;&lt;year&gt;2017&lt;/year&gt;&lt;/dates&gt;&lt;keywords&gt;&lt;keyword&gt;Adult&lt;/keyword&gt;&lt;keyword&gt;Aged&lt;/keyword&gt;&lt;keyword&gt;Aged, 80 and over&lt;/keyword&gt;&lt;keyword&gt;England&lt;/keyword&gt;&lt;keyword&gt;Female&lt;/keyword&gt;&lt;keyword&gt;Hospital Mortality&lt;/keyword&gt;&lt;keyword&gt;Hospitalization&lt;/keyword&gt;&lt;keyword&gt;Humans&lt;/keyword&gt;&lt;keyword&gt;Male&lt;/keyword&gt;&lt;keyword&gt;Medical Record Linkage&lt;/keyword&gt;&lt;keyword&gt;Middle Aged&lt;/keyword&gt;&lt;keyword&gt;Myocardial Infarction&lt;/keyword&gt;&lt;/keywords&gt;&lt;urls&gt;&lt;related-urls&gt;&lt;url&gt;https://www.ncbi.nlm.nih.gov/pubmed/29253451&lt;/url&gt;&lt;/related-urls&gt;&lt;/urls&gt;&lt;isbn&gt;2468-2667&lt;/isbn&gt;&lt;custom2&gt;PMC6196770&lt;/custom2&gt;&lt;titles&gt;&lt;title&gt;Acute myocardial infarction hospital admissions and deaths in England: a national follow-back and follow-forward record-linkage study&lt;/title&gt;&lt;secondary-title&gt;Lancet Public Health&lt;/secondary-title&gt;&lt;/titles&gt;&lt;pages&gt;e191-e201&lt;/pages&gt;&lt;number&gt;4&lt;/number&gt;&lt;contributors&gt;&lt;authors&gt;&lt;author&gt;Asaria, P.&lt;/author&gt;&lt;author&gt;Elliott, P.&lt;/author&gt;&lt;author&gt;Douglass, M.&lt;/author&gt;&lt;author&gt;Obermeyer, Z.&lt;/author&gt;&lt;author&gt;Soljak, M.&lt;/author&gt;&lt;author&gt;Majeed, A.&lt;/author&gt;&lt;author&gt;Ezzati, M.&lt;/author&gt;&lt;/authors&gt;&lt;/contributors&gt;&lt;edition&gt;2017/03/01&lt;/edition&gt;&lt;language&gt;eng&lt;/language&gt;&lt;added-date format="utc"&gt;1621873918&lt;/added-date&gt;&lt;ref-type name="Journal Article"&gt;17&lt;/ref-type&gt;&lt;rec-number&gt;227&lt;/rec-number&gt;&lt;last-updated-date format="utc"&gt;1621873918&lt;/last-updated-date&gt;&lt;accession-num&gt;29253451&lt;/accession-num&gt;&lt;electronic-resource-num&gt;10.1016/S2468-2667(17)30032-4&lt;/electronic-resource-num&gt;&lt;volume&gt;2&lt;/volume&gt;&lt;/record&gt;&lt;/Cite&gt;&lt;/EndNote&gt;</w:instrText>
            </w:r>
            <w:r w:rsidRPr="00A20A17">
              <w:rPr>
                <w:rFonts w:ascii="Calibri" w:eastAsia="Calibri" w:hAnsi="Calibri" w:cs="Arial"/>
                <w:sz w:val="18"/>
                <w:szCs w:val="18"/>
              </w:rPr>
              <w:fldChar w:fldCharType="separate"/>
            </w:r>
            <w:r w:rsidRPr="00A20A17">
              <w:rPr>
                <w:rFonts w:ascii="Calibri" w:eastAsia="Calibri" w:hAnsi="Calibri" w:cs="Arial"/>
                <w:noProof/>
                <w:sz w:val="18"/>
                <w:szCs w:val="18"/>
                <w:vertAlign w:val="superscript"/>
              </w:rPr>
              <w:t>27</w:t>
            </w:r>
            <w:r w:rsidRPr="00A20A17">
              <w:rPr>
                <w:rFonts w:ascii="Calibri" w:eastAsia="Calibri" w:hAnsi="Calibri" w:cs="Arial"/>
                <w:sz w:val="18"/>
                <w:szCs w:val="18"/>
              </w:rPr>
              <w:fldChar w:fldCharType="end"/>
            </w:r>
            <w:r w:rsidRPr="00A20A17">
              <w:rPr>
                <w:rFonts w:ascii="Calibri" w:eastAsia="Calibri" w:hAnsi="Calibri" w:cs="Arial"/>
                <w:sz w:val="18"/>
                <w:szCs w:val="18"/>
              </w:rPr>
              <w:t>.</w:t>
            </w:r>
          </w:p>
        </w:tc>
        <w:tc>
          <w:tcPr>
            <w:tcW w:w="0" w:type="auto"/>
          </w:tcPr>
          <w:p w14:paraId="0784644E"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The probability of death due to the first CV event may not be independent from age at the event, but the number of events in the CPRD cohort is insufficient to inform age-dependent probabilities.</w:t>
            </w:r>
          </w:p>
        </w:tc>
      </w:tr>
      <w:tr w:rsidR="00FE37DB" w:rsidRPr="00A20A17" w14:paraId="5E5EB5C6" w14:textId="77777777" w:rsidTr="00A80B48">
        <w:tc>
          <w:tcPr>
            <w:tcW w:w="0" w:type="auto"/>
            <w:shd w:val="clear" w:color="auto" w:fill="auto"/>
          </w:tcPr>
          <w:p w14:paraId="5189435B" w14:textId="77777777" w:rsidR="00FE37DB" w:rsidRPr="00A20A17" w:rsidRDefault="00FE37DB" w:rsidP="00A80B48">
            <w:pPr>
              <w:spacing w:before="60" w:after="60" w:line="240" w:lineRule="auto"/>
              <w:rPr>
                <w:rFonts w:ascii="Calibri" w:eastAsia="Calibri" w:hAnsi="Calibri" w:cs="Arial"/>
                <w:b/>
                <w:bCs/>
                <w:sz w:val="18"/>
                <w:szCs w:val="18"/>
              </w:rPr>
            </w:pPr>
            <w:r w:rsidRPr="00A20A17">
              <w:rPr>
                <w:rFonts w:ascii="Calibri" w:eastAsia="Calibri" w:hAnsi="Calibri" w:cs="Arial"/>
                <w:b/>
                <w:bCs/>
                <w:sz w:val="18"/>
                <w:szCs w:val="18"/>
              </w:rPr>
              <w:t xml:space="preserve">To estimate the counterfactual risk of death after the first non-fatal CV event, we assume that individuals in Lewsey et al </w:t>
            </w:r>
            <w:r w:rsidRPr="00A20A17">
              <w:rPr>
                <w:rFonts w:ascii="Calibri" w:eastAsia="Calibri" w:hAnsi="Calibri" w:cs="Arial"/>
                <w:b/>
                <w:bCs/>
                <w:sz w:val="18"/>
                <w:szCs w:val="18"/>
              </w:rPr>
              <w:fldChar w:fldCharType="begin"/>
            </w:r>
            <w:r w:rsidRPr="00A20A17">
              <w:rPr>
                <w:rFonts w:ascii="Calibri" w:eastAsia="Calibri" w:hAnsi="Calibri" w:cs="Arial"/>
                <w:b/>
                <w:bCs/>
                <w:sz w:val="18"/>
                <w:szCs w:val="18"/>
              </w:rPr>
              <w:instrText xml:space="preserve"> ADDIN EN.CITE &lt;EndNote&gt;&lt;Cite&gt;&lt;Author&gt;Lewsey&lt;/Author&gt;&lt;Year&gt;2015&lt;/Year&gt;&lt;IDText&gt;A cardiovascular disease policy model that predicts life expectancy taking into account socioeconomic deprivation&lt;/IDText&gt;&lt;DisplayText&gt;&lt;style face="superscript"&gt;17&lt;/style&gt;&lt;/DisplayText&gt;&lt;record&gt;&lt;dates&gt;&lt;pub-dates&gt;&lt;date&gt;Feb&lt;/date&gt;&lt;/pub-dates&gt;&lt;year&gt;2015&lt;/year&gt;&lt;/dates&gt;&lt;keywords&gt;&lt;keyword&gt;Cardiovascular Diseases&lt;/keyword&gt;&lt;keyword&gt;Cost-Benefit Analysis&lt;/keyword&gt;&lt;keyword&gt;Female&lt;/keyword&gt;&lt;keyword&gt;Humans&lt;/keyword&gt;&lt;keyword&gt;Life Expectancy&lt;/keyword&gt;&lt;keyword&gt;Male&lt;/keyword&gt;&lt;keyword&gt;Middle Aged&lt;/keyword&gt;&lt;keyword&gt;Models, Cardiovascular&lt;/keyword&gt;&lt;keyword&gt;Morbidity&lt;/keyword&gt;&lt;keyword&gt;Primary Prevention&lt;/keyword&gt;&lt;keyword&gt;Risk Factors&lt;/keyword&gt;&lt;keyword&gt;Socioeconomic Factors&lt;/keyword&gt;&lt;keyword&gt;Survival Rate&lt;/keyword&gt;&lt;keyword&gt;United Kingdom&lt;/keyword&gt;&lt;keyword&gt;CORONARY ARTERY DISEASE&lt;/keyword&gt;&lt;keyword&gt;QUALITY OF CARE AND OUTCOMES&lt;/keyword&gt;&lt;/keywords&gt;&lt;urls&gt;&lt;related-urls&gt;&lt;url&gt;https://www.ncbi.nlm.nih.gov/pubmed/25324535&lt;/url&gt;&lt;/related-urls&gt;&lt;/urls&gt;&lt;isbn&gt;1468-201X&lt;/isbn&gt;&lt;custom2&gt;PMC4316925&lt;/custom2&gt;&lt;titles&gt;&lt;title&gt;A cardiovascular disease policy model that predicts life expectancy taking into account socioeconomic deprivation&lt;/title&gt;&lt;secondary-title&gt;Heart&lt;/secondary-title&gt;&lt;/titles&gt;&lt;pages&gt;201-8&lt;/pages&gt;&lt;number&gt;3&lt;/number&gt;&lt;contributors&gt;&lt;authors&gt;&lt;author&gt;Lewsey, J. D.&lt;/author&gt;&lt;author&gt;Lawson, K. D.&lt;/author&gt;&lt;author&gt;Ford, I.&lt;/author&gt;&lt;author&gt;Fox, K. A.&lt;/author&gt;&lt;author&gt;Ritchie, L. D.&lt;/author&gt;&lt;author&gt;Tunstall-Pedoe, H.&lt;/author&gt;&lt;author&gt;Watt, G. C.&lt;/author&gt;&lt;author&gt;Woodward, M.&lt;/author&gt;&lt;author&gt;Kent, S.&lt;/author&gt;&lt;author&gt;Neilson, M.&lt;/author&gt;&lt;author&gt;Briggs, A. H.&lt;/author&gt;&lt;/authors&gt;&lt;/contributors&gt;&lt;edition&gt;2014/10/16&lt;/edition&gt;&lt;language&gt;eng&lt;/language&gt;&lt;added-date format="utc"&gt;1621865848&lt;/added-date&gt;&lt;ref-type name="Journal Article"&gt;17&lt;/ref-type&gt;&lt;rec-number&gt;186&lt;/rec-number&gt;&lt;last-updated-date format="utc"&gt;1621865848&lt;/last-updated-date&gt;&lt;accession-num&gt;25324535&lt;/accession-num&gt;&lt;electronic-resource-num&gt;10.1136/heartjnl-2014-305637&lt;/electronic-resource-num&gt;&lt;volume&gt;101&lt;/volume&gt;&lt;/record&gt;&lt;/Cite&gt;&lt;/EndNote&gt;</w:instrText>
            </w:r>
            <w:r w:rsidRPr="00A20A17">
              <w:rPr>
                <w:rFonts w:ascii="Calibri" w:eastAsia="Calibri" w:hAnsi="Calibri" w:cs="Arial"/>
                <w:b/>
                <w:bCs/>
                <w:sz w:val="18"/>
                <w:szCs w:val="18"/>
              </w:rPr>
              <w:fldChar w:fldCharType="separate"/>
            </w:r>
            <w:r w:rsidRPr="00A20A17">
              <w:rPr>
                <w:rFonts w:ascii="Calibri" w:eastAsia="Calibri" w:hAnsi="Calibri" w:cs="Arial"/>
                <w:b/>
                <w:bCs/>
                <w:noProof/>
                <w:sz w:val="18"/>
                <w:szCs w:val="18"/>
                <w:vertAlign w:val="superscript"/>
              </w:rPr>
              <w:t>17</w:t>
            </w:r>
            <w:r w:rsidRPr="00A20A17">
              <w:rPr>
                <w:rFonts w:ascii="Calibri" w:eastAsia="Calibri" w:hAnsi="Calibri" w:cs="Arial"/>
                <w:b/>
                <w:bCs/>
                <w:sz w:val="18"/>
                <w:szCs w:val="18"/>
              </w:rPr>
              <w:fldChar w:fldCharType="end"/>
            </w:r>
            <w:r w:rsidRPr="00A20A17">
              <w:rPr>
                <w:rFonts w:ascii="Calibri" w:eastAsia="Calibri" w:hAnsi="Calibri" w:cs="Arial"/>
                <w:b/>
                <w:bCs/>
                <w:sz w:val="18"/>
                <w:szCs w:val="18"/>
              </w:rPr>
              <w:t xml:space="preserve"> had the same LDLC reduction as the CPRD cohort before and after diagnosis.</w:t>
            </w:r>
          </w:p>
        </w:tc>
        <w:tc>
          <w:tcPr>
            <w:tcW w:w="0" w:type="auto"/>
            <w:shd w:val="clear" w:color="auto" w:fill="auto"/>
          </w:tcPr>
          <w:p w14:paraId="19E9DC98" w14:textId="77777777" w:rsidR="00FE37DB" w:rsidRPr="00A20A17" w:rsidRDefault="00FE37DB" w:rsidP="00A80B48">
            <w:pPr>
              <w:numPr>
                <w:ilvl w:val="0"/>
                <w:numId w:val="8"/>
              </w:numPr>
              <w:spacing w:before="60" w:after="60" w:line="240" w:lineRule="auto"/>
              <w:rPr>
                <w:rFonts w:ascii="Calibri" w:eastAsia="Calibri" w:hAnsi="Calibri" w:cs="Arial"/>
                <w:sz w:val="18"/>
                <w:szCs w:val="18"/>
              </w:rPr>
            </w:pPr>
            <w:r w:rsidRPr="00A20A17">
              <w:rPr>
                <w:rFonts w:ascii="Calibri" w:eastAsia="Calibri" w:hAnsi="Calibri" w:cs="Arial"/>
                <w:sz w:val="18"/>
                <w:szCs w:val="18"/>
              </w:rPr>
              <w:t>Doubling the risk of death post-first non-fatal CV event compared to the base-case.</w:t>
            </w:r>
          </w:p>
        </w:tc>
        <w:tc>
          <w:tcPr>
            <w:tcW w:w="0" w:type="auto"/>
            <w:shd w:val="clear" w:color="auto" w:fill="auto"/>
          </w:tcPr>
          <w:p w14:paraId="3BC0613A"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To account for the increased risk of individuals with FH.</w:t>
            </w:r>
          </w:p>
        </w:tc>
      </w:tr>
      <w:tr w:rsidR="00FE37DB" w:rsidRPr="00A20A17" w14:paraId="53BB8B7E" w14:textId="77777777" w:rsidTr="00A80B48">
        <w:tc>
          <w:tcPr>
            <w:tcW w:w="0" w:type="auto"/>
          </w:tcPr>
          <w:p w14:paraId="7270669C" w14:textId="77777777" w:rsidR="00FE37DB" w:rsidRPr="00A20A17" w:rsidRDefault="00FE37DB" w:rsidP="00A80B48">
            <w:pPr>
              <w:spacing w:before="60" w:after="60" w:line="240" w:lineRule="auto"/>
              <w:rPr>
                <w:rFonts w:ascii="Calibri" w:eastAsia="Calibri" w:hAnsi="Calibri" w:cs="Arial"/>
                <w:b/>
                <w:bCs/>
                <w:sz w:val="18"/>
                <w:szCs w:val="18"/>
              </w:rPr>
            </w:pPr>
            <w:r w:rsidRPr="00A20A17">
              <w:rPr>
                <w:rFonts w:ascii="Calibri" w:eastAsia="Calibri" w:hAnsi="Calibri" w:cs="Arial"/>
                <w:b/>
                <w:bCs/>
                <w:sz w:val="18"/>
                <w:szCs w:val="18"/>
              </w:rPr>
              <w:t>The hazard rate for death after the first non-fatal CV event at 10-years is generalisable to the entire time horizon.</w:t>
            </w:r>
          </w:p>
        </w:tc>
        <w:tc>
          <w:tcPr>
            <w:tcW w:w="0" w:type="auto"/>
          </w:tcPr>
          <w:p w14:paraId="5D1D6E46" w14:textId="77777777" w:rsidR="00FE37DB" w:rsidRPr="00A20A17" w:rsidRDefault="00FE37DB" w:rsidP="00A80B48">
            <w:pPr>
              <w:numPr>
                <w:ilvl w:val="0"/>
                <w:numId w:val="8"/>
              </w:numPr>
              <w:spacing w:before="60" w:after="60" w:line="240" w:lineRule="auto"/>
              <w:rPr>
                <w:rFonts w:ascii="Calibri" w:eastAsia="Calibri" w:hAnsi="Calibri" w:cs="Arial"/>
                <w:sz w:val="18"/>
                <w:szCs w:val="18"/>
              </w:rPr>
            </w:pPr>
            <w:r w:rsidRPr="00A20A17">
              <w:rPr>
                <w:rFonts w:ascii="Calibri" w:eastAsia="Calibri" w:hAnsi="Calibri" w:cs="Arial"/>
                <w:sz w:val="18"/>
                <w:szCs w:val="18"/>
              </w:rPr>
              <w:t>The hazard rate for death after the first non-fatal CV event at 20-years is generalisable to the entire time horizon.</w:t>
            </w:r>
          </w:p>
        </w:tc>
        <w:tc>
          <w:tcPr>
            <w:tcW w:w="0" w:type="auto"/>
          </w:tcPr>
          <w:p w14:paraId="4D1C5A28"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The hazard rate at 10 years may not be generalisable to the entire time horizon.</w:t>
            </w:r>
          </w:p>
        </w:tc>
      </w:tr>
      <w:tr w:rsidR="00FE37DB" w:rsidRPr="00A20A17" w14:paraId="173D88D4" w14:textId="77777777" w:rsidTr="00A80B48">
        <w:tc>
          <w:tcPr>
            <w:tcW w:w="0" w:type="auto"/>
            <w:gridSpan w:val="3"/>
            <w:shd w:val="clear" w:color="auto" w:fill="E7E6E6"/>
          </w:tcPr>
          <w:p w14:paraId="5CE34E3E"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Scenarios on costs</w:t>
            </w:r>
          </w:p>
        </w:tc>
      </w:tr>
      <w:tr w:rsidR="00FE37DB" w:rsidRPr="00A20A17" w14:paraId="0722FDD8" w14:textId="77777777" w:rsidTr="00A80B48">
        <w:tc>
          <w:tcPr>
            <w:tcW w:w="0" w:type="auto"/>
          </w:tcPr>
          <w:p w14:paraId="2EB6DA80" w14:textId="77777777" w:rsidR="00FE37DB" w:rsidRPr="00A20A17" w:rsidRDefault="00FE37DB" w:rsidP="00A80B48">
            <w:pPr>
              <w:spacing w:before="60" w:after="60" w:line="240" w:lineRule="auto"/>
              <w:rPr>
                <w:rFonts w:ascii="Calibri" w:eastAsia="Calibri" w:hAnsi="Calibri" w:cs="Arial"/>
                <w:b/>
                <w:bCs/>
                <w:sz w:val="18"/>
                <w:szCs w:val="18"/>
              </w:rPr>
            </w:pPr>
            <w:r w:rsidRPr="00A20A17">
              <w:rPr>
                <w:rFonts w:ascii="Calibri" w:eastAsia="Calibri" w:hAnsi="Calibri" w:cs="Arial"/>
                <w:b/>
                <w:bCs/>
                <w:sz w:val="18"/>
                <w:szCs w:val="18"/>
              </w:rPr>
              <w:t>Children are monitored from diagnosis.</w:t>
            </w:r>
          </w:p>
        </w:tc>
        <w:tc>
          <w:tcPr>
            <w:tcW w:w="0" w:type="auto"/>
          </w:tcPr>
          <w:p w14:paraId="37E91DCB" w14:textId="77777777" w:rsidR="00FE37DB" w:rsidRPr="00A20A17" w:rsidRDefault="00FE37DB" w:rsidP="00A80B48">
            <w:pPr>
              <w:numPr>
                <w:ilvl w:val="0"/>
                <w:numId w:val="8"/>
              </w:numPr>
              <w:spacing w:before="60" w:after="60" w:line="240" w:lineRule="auto"/>
              <w:rPr>
                <w:rFonts w:ascii="Calibri" w:eastAsia="Calibri" w:hAnsi="Calibri" w:cs="Arial"/>
                <w:sz w:val="18"/>
                <w:szCs w:val="18"/>
              </w:rPr>
            </w:pPr>
            <w:r w:rsidRPr="00A20A17">
              <w:rPr>
                <w:rFonts w:ascii="Calibri" w:eastAsia="Calibri" w:hAnsi="Calibri" w:cs="Arial"/>
                <w:sz w:val="18"/>
                <w:szCs w:val="18"/>
              </w:rPr>
              <w:t xml:space="preserve">Individuals are monitored only from 10 years of age. </w:t>
            </w:r>
          </w:p>
        </w:tc>
        <w:tc>
          <w:tcPr>
            <w:tcW w:w="0" w:type="auto"/>
          </w:tcPr>
          <w:p w14:paraId="0528BE8E"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Following the Heart UK consensus statement</w:t>
            </w:r>
            <w:r w:rsidRPr="00A20A17">
              <w:rPr>
                <w:rFonts w:ascii="Calibri" w:eastAsia="Calibri" w:hAnsi="Calibri" w:cs="Arial"/>
                <w:sz w:val="18"/>
                <w:szCs w:val="18"/>
              </w:rPr>
              <w:fldChar w:fldCharType="begin">
                <w:fldData xml:space="preserve">PEVuZE5vdGU+PENpdGU+PEF1dGhvcj5SYW1hc3dhbWk8L0F1dGhvcj48WWVhcj4yMDE5PC9ZZWFy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</w:fldData>
              </w:fldChar>
            </w:r>
            <w:r w:rsidRPr="00A20A17">
              <w:rPr>
                <w:rFonts w:ascii="Calibri" w:eastAsia="Calibri" w:hAnsi="Calibri" w:cs="Arial"/>
                <w:sz w:val="18"/>
                <w:szCs w:val="18"/>
              </w:rPr>
              <w:instrText xml:space="preserve"> ADDIN EN.CITE </w:instrText>
            </w:r>
            <w:r w:rsidRPr="00A20A17">
              <w:rPr>
                <w:rFonts w:ascii="Calibri" w:eastAsia="Calibri" w:hAnsi="Calibri" w:cs="Arial"/>
                <w:sz w:val="18"/>
                <w:szCs w:val="18"/>
              </w:rPr>
              <w:fldChar w:fldCharType="begin">
                <w:fldData xml:space="preserve">PEVuZE5vdGU+PENpdGU+PEF1dGhvcj5SYW1hc3dhbWk8L0F1dGhvcj48WWVhcj4yMDE5PC9ZZWFy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</w:fldData>
              </w:fldChar>
            </w:r>
            <w:r w:rsidRPr="00A20A17">
              <w:rPr>
                <w:rFonts w:ascii="Calibri" w:eastAsia="Calibri" w:hAnsi="Calibri" w:cs="Arial"/>
                <w:sz w:val="18"/>
                <w:szCs w:val="18"/>
              </w:rPr>
              <w:instrText xml:space="preserve"> ADDIN EN.CITE.DATA </w:instrText>
            </w:r>
            <w:r w:rsidRPr="00A20A17">
              <w:rPr>
                <w:rFonts w:ascii="Calibri" w:eastAsia="Calibri" w:hAnsi="Calibri" w:cs="Arial"/>
                <w:sz w:val="18"/>
                <w:szCs w:val="18"/>
              </w:rPr>
            </w:r>
            <w:r w:rsidRPr="00A20A17">
              <w:rPr>
                <w:rFonts w:ascii="Calibri" w:eastAsia="Calibri" w:hAnsi="Calibri" w:cs="Arial"/>
                <w:sz w:val="18"/>
                <w:szCs w:val="18"/>
              </w:rPr>
              <w:fldChar w:fldCharType="end"/>
            </w:r>
            <w:r w:rsidRPr="00A20A17">
              <w:rPr>
                <w:rFonts w:ascii="Calibri" w:eastAsia="Calibri" w:hAnsi="Calibri" w:cs="Arial"/>
                <w:sz w:val="18"/>
                <w:szCs w:val="18"/>
              </w:rPr>
            </w:r>
            <w:r w:rsidRPr="00A20A17">
              <w:rPr>
                <w:rFonts w:ascii="Calibri" w:eastAsia="Calibri" w:hAnsi="Calibri" w:cs="Arial"/>
                <w:sz w:val="18"/>
                <w:szCs w:val="18"/>
              </w:rPr>
              <w:fldChar w:fldCharType="separate"/>
            </w:r>
            <w:r w:rsidRPr="00A20A17">
              <w:rPr>
                <w:rFonts w:ascii="Calibri" w:eastAsia="Calibri" w:hAnsi="Calibri" w:cs="Arial"/>
                <w:noProof/>
                <w:sz w:val="18"/>
                <w:szCs w:val="18"/>
                <w:vertAlign w:val="superscript"/>
              </w:rPr>
              <w:t>25</w:t>
            </w:r>
            <w:r w:rsidRPr="00A20A17">
              <w:rPr>
                <w:rFonts w:ascii="Calibri" w:eastAsia="Calibri" w:hAnsi="Calibri" w:cs="Arial"/>
                <w:sz w:val="18"/>
                <w:szCs w:val="18"/>
              </w:rPr>
              <w:fldChar w:fldCharType="end"/>
            </w:r>
            <w:r w:rsidRPr="00A20A17">
              <w:rPr>
                <w:rFonts w:ascii="Calibri" w:eastAsia="Calibri" w:hAnsi="Calibri" w:cs="Arial"/>
                <w:sz w:val="18"/>
                <w:szCs w:val="18"/>
              </w:rPr>
              <w:t>, we assumed that children are monitored from diagnosis in the base-case. However, some clinicians may choose to start monitoring when LLT is started, at 10 years of age.</w:t>
            </w:r>
          </w:p>
        </w:tc>
      </w:tr>
      <w:tr w:rsidR="00FE37DB" w:rsidRPr="00A20A17" w14:paraId="4D3E73D7" w14:textId="77777777" w:rsidTr="00A80B48">
        <w:tc>
          <w:tcPr>
            <w:tcW w:w="0" w:type="auto"/>
            <w:vMerge w:val="restart"/>
          </w:tcPr>
          <w:p w14:paraId="6470FA0B" w14:textId="77777777" w:rsidR="00FE37DB" w:rsidRPr="00A20A17" w:rsidRDefault="00FE37DB" w:rsidP="00A80B48">
            <w:pPr>
              <w:spacing w:before="60" w:after="60" w:line="240" w:lineRule="auto"/>
              <w:rPr>
                <w:rFonts w:ascii="Calibri" w:eastAsia="Calibri" w:hAnsi="Calibri" w:cs="Arial"/>
                <w:b/>
                <w:bCs/>
                <w:sz w:val="18"/>
                <w:szCs w:val="18"/>
              </w:rPr>
            </w:pPr>
            <w:r w:rsidRPr="00A20A17">
              <w:rPr>
                <w:rFonts w:ascii="Calibri" w:eastAsia="Calibri" w:hAnsi="Calibri" w:cs="Arial"/>
                <w:b/>
                <w:bCs/>
                <w:sz w:val="18"/>
                <w:szCs w:val="18"/>
              </w:rPr>
              <w:t xml:space="preserve">Individuals diagnosed with FH and are treated have 3 monitoring appointments in the first year after treatment initiation, then 1 appointment per year thereafter if adults or 1.5 if children and adolescents. </w:t>
            </w:r>
          </w:p>
          <w:p w14:paraId="5D356923" w14:textId="77777777" w:rsidR="00FE37DB" w:rsidRPr="00A20A17" w:rsidRDefault="00FE37DB" w:rsidP="00A80B48">
            <w:pPr>
              <w:spacing w:before="60" w:after="60" w:line="240" w:lineRule="auto"/>
              <w:rPr>
                <w:rFonts w:ascii="Calibri" w:eastAsia="Calibri" w:hAnsi="Calibri" w:cs="Arial"/>
                <w:b/>
                <w:bCs/>
                <w:sz w:val="18"/>
                <w:szCs w:val="18"/>
              </w:rPr>
            </w:pPr>
            <w:r w:rsidRPr="00A20A17">
              <w:rPr>
                <w:rFonts w:ascii="Calibri" w:eastAsia="Calibri" w:hAnsi="Calibri" w:cs="Arial"/>
                <w:b/>
                <w:bCs/>
                <w:sz w:val="18"/>
                <w:szCs w:val="18"/>
              </w:rPr>
              <w:t>Children and adolescents who are not treated have 1 monitoring appointment in the year of diagnosis and 1 appointment every other year subsequently until treatment.</w:t>
            </w:r>
          </w:p>
        </w:tc>
        <w:tc>
          <w:tcPr>
            <w:tcW w:w="0" w:type="auto"/>
          </w:tcPr>
          <w:p w14:paraId="650F4831" w14:textId="77777777" w:rsidR="00FE37DB" w:rsidRPr="00A20A17" w:rsidRDefault="00FE37DB" w:rsidP="00A80B48">
            <w:pPr>
              <w:numPr>
                <w:ilvl w:val="0"/>
                <w:numId w:val="8"/>
              </w:numPr>
              <w:spacing w:before="60" w:after="60" w:line="240" w:lineRule="auto"/>
              <w:rPr>
                <w:rFonts w:ascii="Calibri" w:eastAsia="Calibri" w:hAnsi="Calibri" w:cs="Arial"/>
                <w:sz w:val="18"/>
                <w:szCs w:val="18"/>
              </w:rPr>
            </w:pPr>
            <w:r w:rsidRPr="00A20A17">
              <w:rPr>
                <w:rFonts w:ascii="Calibri" w:eastAsia="Calibri" w:hAnsi="Calibri" w:cs="Arial"/>
                <w:sz w:val="18"/>
                <w:szCs w:val="18"/>
              </w:rPr>
              <w:t>Low intensity monitoring: 2 appointments in the first year after treatment initiation, then 0.75 appointments per year if adults or 1 appointment per year if children and adolescents. Children and adolescents who are not treated have 1 appointment (and 1 lipid test) in the year of diagnosis and none thereafter until treatment.</w:t>
            </w:r>
          </w:p>
        </w:tc>
        <w:tc>
          <w:tcPr>
            <w:tcW w:w="0" w:type="auto"/>
            <w:vMerge w:val="restart"/>
          </w:tcPr>
          <w:p w14:paraId="16516FE5"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Given the variation in the frequency of monitoring across the country, we present a low-intensity and a high-intensity monitoring scenario.</w:t>
            </w:r>
          </w:p>
        </w:tc>
      </w:tr>
      <w:tr w:rsidR="00FE37DB" w:rsidRPr="00A20A17" w14:paraId="549EE0EA" w14:textId="77777777" w:rsidTr="00A80B48">
        <w:tc>
          <w:tcPr>
            <w:tcW w:w="0" w:type="auto"/>
            <w:vMerge/>
          </w:tcPr>
          <w:p w14:paraId="6FEEDC2A" w14:textId="77777777" w:rsidR="00FE37DB" w:rsidRPr="00A20A17" w:rsidRDefault="00FE37DB" w:rsidP="00A80B48">
            <w:pPr>
              <w:spacing w:before="60" w:after="60" w:line="240" w:lineRule="auto"/>
              <w:rPr>
                <w:rFonts w:ascii="Calibri" w:eastAsia="Calibri" w:hAnsi="Calibri" w:cs="Arial"/>
                <w:b/>
                <w:bCs/>
                <w:sz w:val="18"/>
                <w:szCs w:val="18"/>
              </w:rPr>
            </w:pPr>
          </w:p>
        </w:tc>
        <w:tc>
          <w:tcPr>
            <w:tcW w:w="0" w:type="auto"/>
          </w:tcPr>
          <w:p w14:paraId="39812807" w14:textId="77777777" w:rsidR="00FE37DB" w:rsidRPr="00A20A17" w:rsidRDefault="00FE37DB" w:rsidP="00A80B48">
            <w:pPr>
              <w:numPr>
                <w:ilvl w:val="0"/>
                <w:numId w:val="8"/>
              </w:numPr>
              <w:spacing w:before="60" w:after="60" w:line="240" w:lineRule="auto"/>
              <w:rPr>
                <w:rFonts w:ascii="Calibri" w:eastAsia="Calibri" w:hAnsi="Calibri" w:cs="Arial"/>
                <w:sz w:val="18"/>
                <w:szCs w:val="18"/>
              </w:rPr>
            </w:pPr>
            <w:r w:rsidRPr="00A20A17">
              <w:rPr>
                <w:rFonts w:ascii="Calibri" w:eastAsia="Calibri" w:hAnsi="Calibri" w:cs="Arial"/>
                <w:sz w:val="18"/>
                <w:szCs w:val="18"/>
              </w:rPr>
              <w:t>High intensity monitoring: individuals have 3 appointments (and lipid tests) in the first year after treatment initiation, then 1.2 appointments per year if adults or 2 appointments per year if children and adolescents. Children and adolescents who are not treated have 1 appointment (and 1 lipid test) every year until treatment.</w:t>
            </w:r>
          </w:p>
        </w:tc>
        <w:tc>
          <w:tcPr>
            <w:tcW w:w="0" w:type="auto"/>
            <w:vMerge/>
          </w:tcPr>
          <w:p w14:paraId="2AE95642" w14:textId="77777777" w:rsidR="00FE37DB" w:rsidRPr="00A20A17" w:rsidRDefault="00FE37DB" w:rsidP="00A80B48">
            <w:pPr>
              <w:spacing w:before="60" w:after="60" w:line="240" w:lineRule="auto"/>
              <w:rPr>
                <w:rFonts w:ascii="Calibri" w:eastAsia="Calibri" w:hAnsi="Calibri" w:cs="Arial"/>
                <w:sz w:val="18"/>
                <w:szCs w:val="18"/>
              </w:rPr>
            </w:pPr>
          </w:p>
        </w:tc>
      </w:tr>
      <w:tr w:rsidR="00FE37DB" w:rsidRPr="00A20A17" w14:paraId="5C88B5AC" w14:textId="77777777" w:rsidTr="00A80B48">
        <w:tc>
          <w:tcPr>
            <w:tcW w:w="0" w:type="auto"/>
          </w:tcPr>
          <w:p w14:paraId="6E276106" w14:textId="77777777" w:rsidR="00FE37DB" w:rsidRPr="00A20A17" w:rsidRDefault="00FE37DB" w:rsidP="00A80B48">
            <w:pPr>
              <w:spacing w:before="60" w:after="60" w:line="240" w:lineRule="auto"/>
              <w:rPr>
                <w:rFonts w:ascii="Calibri" w:eastAsia="Calibri" w:hAnsi="Calibri" w:cs="Arial"/>
                <w:b/>
                <w:bCs/>
                <w:sz w:val="18"/>
                <w:szCs w:val="18"/>
              </w:rPr>
            </w:pPr>
            <w:r w:rsidRPr="00A20A17">
              <w:rPr>
                <w:rFonts w:ascii="Calibri" w:eastAsia="Calibri" w:hAnsi="Calibri" w:cs="Arial"/>
                <w:b/>
                <w:bCs/>
                <w:sz w:val="18"/>
                <w:szCs w:val="18"/>
              </w:rPr>
              <w:t>75% of adult individuals who are diagnosed with FH are monitored in primary care.</w:t>
            </w:r>
          </w:p>
        </w:tc>
        <w:tc>
          <w:tcPr>
            <w:tcW w:w="0" w:type="auto"/>
          </w:tcPr>
          <w:p w14:paraId="77C21238" w14:textId="77777777" w:rsidR="00FE37DB" w:rsidRPr="00A20A17" w:rsidRDefault="00FE37DB" w:rsidP="00A80B48">
            <w:pPr>
              <w:numPr>
                <w:ilvl w:val="0"/>
                <w:numId w:val="8"/>
              </w:numPr>
              <w:spacing w:before="60" w:after="60" w:line="240" w:lineRule="auto"/>
              <w:rPr>
                <w:rFonts w:ascii="Calibri" w:eastAsia="Calibri" w:hAnsi="Calibri" w:cs="Arial"/>
                <w:sz w:val="18"/>
                <w:szCs w:val="18"/>
              </w:rPr>
            </w:pPr>
            <w:r w:rsidRPr="00A20A17">
              <w:rPr>
                <w:rFonts w:ascii="Calibri" w:eastAsia="Calibri" w:hAnsi="Calibri" w:cs="Arial"/>
                <w:sz w:val="18"/>
                <w:szCs w:val="18"/>
              </w:rPr>
              <w:t>50% of adult individuals who are diagnosed with FH are monitored in primary care.</w:t>
            </w:r>
          </w:p>
        </w:tc>
        <w:tc>
          <w:tcPr>
            <w:tcW w:w="0" w:type="auto"/>
          </w:tcPr>
          <w:p w14:paraId="6B41F609"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 xml:space="preserve">We assumed that 75% of adult individuals who are diagnosed with FH are monitored in primary care as per Pears et al regarding the Wessex FH service </w:t>
            </w:r>
            <w:r w:rsidRPr="00A20A17">
              <w:rPr>
                <w:rFonts w:ascii="Calibri" w:eastAsia="Calibri" w:hAnsi="Calibri" w:cs="Arial"/>
                <w:sz w:val="18"/>
                <w:szCs w:val="18"/>
              </w:rPr>
              <w:fldChar w:fldCharType="begin"/>
            </w:r>
            <w:r w:rsidRPr="00A20A17">
              <w:rPr>
                <w:rFonts w:ascii="Calibri" w:eastAsia="Calibri" w:hAnsi="Calibri" w:cs="Arial"/>
                <w:sz w:val="18"/>
                <w:szCs w:val="18"/>
              </w:rPr>
              <w:instrText xml:space="preserve"> ADDIN EN.CITE &lt;EndNote&gt;&lt;Cite&gt;&lt;Author&gt;Pears&lt;/Author&gt;&lt;Year&gt;2014&lt;/Year&gt;&lt;IDText&gt;The reduced cost of providing a nationally recognised service for familial hypercholesterolaemia&lt;/IDText&gt;&lt;DisplayText&gt;&lt;style face="superscript"&gt;28&lt;/style&gt;&lt;/DisplayText&gt;&lt;record&gt;&lt;titles&gt;&lt;title&gt;The reduced cost of providing a nationally recognised service for familial hypercholesterolaemia&lt;/title&gt;&lt;secondary-title&gt;Open Heart&lt;/secondary-title&gt;&lt;/titles&gt;&lt;contributors&gt;&lt;authors&gt;&lt;author&gt;Pears, Robert&lt;/author&gt;&lt;author&gt;Griffin, Michael&lt;/author&gt;&lt;author&gt;Watson, Melanie&lt;/author&gt;&lt;author&gt;Wheeler, Rebecca&lt;/author&gt;&lt;author&gt;Hilder, Debbie&lt;/author&gt;&lt;author&gt;Meeson, Beverley&lt;/author&gt;&lt;author&gt;Bacon, Sallie&lt;/author&gt;&lt;author&gt;Byrne, Christopher D.&lt;/author&gt;&lt;/authors&gt;&lt;/contributors&gt;&lt;added-date format="utc"&gt;1621869222&lt;/added-date&gt;&lt;ref-type name="Generic"&gt;13&lt;/ref-type&gt;&lt;dates&gt;&lt;year&gt;2014&lt;/year&gt;&lt;/dates&gt;&lt;rec-number&gt;212&lt;/rec-number&gt;&lt;last-updated-date format="utc"&gt;1621869222&lt;/last-updated-date&gt;&lt;accession-num&gt;25332782&lt;/accession-num&gt;&lt;electronic-resource-num&gt;10.1136/openhrt-2013-000015&lt;/electronic-resource-num&gt;&lt;volume&gt;1&lt;/volume&gt;&lt;/record&gt;&lt;/Cite&gt;&lt;/EndNote&gt;</w:instrText>
            </w:r>
            <w:r w:rsidRPr="00A20A17">
              <w:rPr>
                <w:rFonts w:ascii="Calibri" w:eastAsia="Calibri" w:hAnsi="Calibri" w:cs="Arial"/>
                <w:sz w:val="18"/>
                <w:szCs w:val="18"/>
              </w:rPr>
              <w:fldChar w:fldCharType="separate"/>
            </w:r>
            <w:r w:rsidRPr="00A20A17">
              <w:rPr>
                <w:rFonts w:ascii="Calibri" w:eastAsia="Calibri" w:hAnsi="Calibri" w:cs="Arial"/>
                <w:noProof/>
                <w:sz w:val="18"/>
                <w:szCs w:val="18"/>
                <w:vertAlign w:val="superscript"/>
              </w:rPr>
              <w:t>28</w:t>
            </w:r>
            <w:r w:rsidRPr="00A20A17">
              <w:rPr>
                <w:rFonts w:ascii="Calibri" w:eastAsia="Calibri" w:hAnsi="Calibri" w:cs="Arial"/>
                <w:sz w:val="18"/>
                <w:szCs w:val="18"/>
              </w:rPr>
              <w:fldChar w:fldCharType="end"/>
            </w:r>
            <w:r w:rsidRPr="00A20A17">
              <w:rPr>
                <w:rFonts w:ascii="Calibri" w:eastAsia="Calibri" w:hAnsi="Calibri" w:cs="Arial"/>
                <w:sz w:val="18"/>
                <w:szCs w:val="18"/>
              </w:rPr>
              <w:t>, but there is variability across the country.</w:t>
            </w:r>
          </w:p>
        </w:tc>
      </w:tr>
      <w:tr w:rsidR="00FE37DB" w:rsidRPr="00A20A17" w14:paraId="46908243" w14:textId="77777777" w:rsidTr="00A80B48">
        <w:tc>
          <w:tcPr>
            <w:tcW w:w="0" w:type="auto"/>
          </w:tcPr>
          <w:p w14:paraId="03AE71D0" w14:textId="77777777" w:rsidR="00FE37DB" w:rsidRPr="00A20A17" w:rsidRDefault="00FE37DB" w:rsidP="00A80B48">
            <w:pPr>
              <w:spacing w:before="60" w:after="60" w:line="240" w:lineRule="auto"/>
              <w:rPr>
                <w:rFonts w:ascii="Calibri" w:eastAsia="Calibri" w:hAnsi="Calibri" w:cs="Arial"/>
                <w:b/>
                <w:bCs/>
                <w:sz w:val="18"/>
                <w:szCs w:val="18"/>
              </w:rPr>
            </w:pPr>
            <w:r w:rsidRPr="00A20A17">
              <w:rPr>
                <w:rFonts w:ascii="Calibri" w:eastAsia="Calibri" w:hAnsi="Calibri" w:cs="Arial"/>
                <w:b/>
                <w:bCs/>
                <w:sz w:val="18"/>
                <w:szCs w:val="18"/>
              </w:rPr>
              <w:t xml:space="preserve">The costs of care post-CV events are generalisable from individuals with stable coronary artery disease (Walker, 2016) to individuals with FH. </w:t>
            </w:r>
          </w:p>
        </w:tc>
        <w:tc>
          <w:tcPr>
            <w:tcW w:w="0" w:type="auto"/>
          </w:tcPr>
          <w:p w14:paraId="5650E25F" w14:textId="77777777" w:rsidR="00FE37DB" w:rsidRPr="00A20A17" w:rsidRDefault="00FE37DB" w:rsidP="00A80B48">
            <w:pPr>
              <w:numPr>
                <w:ilvl w:val="0"/>
                <w:numId w:val="8"/>
              </w:numPr>
              <w:spacing w:before="60" w:after="60" w:line="240" w:lineRule="auto"/>
              <w:rPr>
                <w:rFonts w:ascii="Calibri" w:eastAsia="Calibri" w:hAnsi="Calibri" w:cs="Arial"/>
                <w:sz w:val="18"/>
                <w:szCs w:val="18"/>
              </w:rPr>
            </w:pPr>
            <w:r w:rsidRPr="00A20A17">
              <w:rPr>
                <w:rFonts w:ascii="Calibri" w:eastAsia="Calibri" w:hAnsi="Calibri" w:cs="Arial"/>
                <w:sz w:val="18"/>
                <w:szCs w:val="18"/>
              </w:rPr>
              <w:t xml:space="preserve">The costs are generalisable from the NICE CG181 </w:t>
            </w:r>
            <w:r w:rsidRPr="00A20A17">
              <w:rPr>
                <w:rFonts w:ascii="Calibri" w:eastAsia="Calibri" w:hAnsi="Calibri" w:cs="Arial"/>
                <w:sz w:val="18"/>
                <w:szCs w:val="18"/>
              </w:rPr>
              <w:fldChar w:fldCharType="begin"/>
            </w:r>
            <w:r w:rsidRPr="00A20A17">
              <w:rPr>
                <w:rFonts w:ascii="Calibri" w:eastAsia="Calibri" w:hAnsi="Calibri" w:cs="Arial"/>
                <w:sz w:val="18"/>
                <w:szCs w:val="18"/>
              </w:rPr>
              <w:instrText xml:space="preserve"> ADDIN EN.CITE &lt;EndNote&gt;&lt;Cite&gt;&lt;Author&gt;NICE&lt;/Author&gt;&lt;Year&gt;2014&lt;/Year&gt;&lt;IDText&gt;Clinical guideline 181. Lipid modification: cardiovascular risk assessment and the modification of blood lipids for the primary and secondary prevention of cardiovascular disease&lt;/IDText&gt;&lt;DisplayText&gt;&lt;style face="superscript"&gt;12&lt;/style&gt;&lt;/DisplayText&gt;&lt;record&gt;&lt;titles&gt;&lt;title&gt;Clinical guideline 181. Lipid modification: cardiovascular risk assessment and the modification of blood lipids for the primary and secondary prevention of cardiovascular disease&lt;/title&gt;&lt;short-title&gt;Clinical guideline 181. Lipid modification: cardiovascular risk assessment and the modification of blood lipids for the primary and secondary prevention of cardiovascular disease&lt;/short-title&gt;&lt;/titles&gt;&lt;contributors&gt;&lt;authors&gt;&lt;author&gt;NICE&lt;/author&gt;&lt;/authors&gt;&lt;/contributors&gt;&lt;added-date format="utc"&gt;1603453281&lt;/added-date&gt;&lt;ref-type name="Report"&gt;27&lt;/ref-type&gt;&lt;dates&gt;&lt;year&gt;2014&lt;/year&gt;&lt;/dates&gt;&lt;rec-number&gt;62&lt;/rec-number&gt;&lt;last-updated-date format="utc"&gt;1603453281&lt;/last-updated-date&gt;&lt;/record&gt;&lt;/Cite&gt;&lt;/EndNote&gt;</w:instrText>
            </w:r>
            <w:r w:rsidRPr="00A20A17">
              <w:rPr>
                <w:rFonts w:ascii="Calibri" w:eastAsia="Calibri" w:hAnsi="Calibri" w:cs="Arial"/>
                <w:sz w:val="18"/>
                <w:szCs w:val="18"/>
              </w:rPr>
              <w:fldChar w:fldCharType="separate"/>
            </w:r>
            <w:r w:rsidRPr="00A20A17">
              <w:rPr>
                <w:rFonts w:ascii="Calibri" w:eastAsia="Calibri" w:hAnsi="Calibri" w:cs="Arial"/>
                <w:noProof/>
                <w:sz w:val="18"/>
                <w:szCs w:val="18"/>
                <w:vertAlign w:val="superscript"/>
              </w:rPr>
              <w:t>12</w:t>
            </w:r>
            <w:r w:rsidRPr="00A20A17">
              <w:rPr>
                <w:rFonts w:ascii="Calibri" w:eastAsia="Calibri" w:hAnsi="Calibri" w:cs="Arial"/>
                <w:sz w:val="18"/>
                <w:szCs w:val="18"/>
              </w:rPr>
              <w:fldChar w:fldCharType="end"/>
            </w:r>
            <w:r w:rsidRPr="00A20A17">
              <w:rPr>
                <w:rFonts w:ascii="Calibri" w:eastAsia="Calibri" w:hAnsi="Calibri" w:cs="Arial"/>
                <w:sz w:val="18"/>
                <w:szCs w:val="18"/>
              </w:rPr>
              <w:t xml:space="preserve">, updated to 2019 </w:t>
            </w:r>
            <w:r w:rsidRPr="00A20A17">
              <w:rPr>
                <w:rFonts w:ascii="Calibri" w:eastAsia="Calibri" w:hAnsi="Calibri" w:cs="Arial"/>
                <w:sz w:val="18"/>
                <w:szCs w:val="18"/>
              </w:rPr>
              <w:fldChar w:fldCharType="begin"/>
            </w:r>
            <w:r w:rsidRPr="00A20A17">
              <w:rPr>
                <w:rFonts w:ascii="Calibri" w:eastAsia="Calibri" w:hAnsi="Calibri" w:cs="Arial"/>
                <w:sz w:val="18"/>
                <w:szCs w:val="18"/>
              </w:rPr>
              <w:instrText xml:space="preserve"> ADDIN EN.CITE &lt;EndNote&gt;&lt;Cite&gt;&lt;Author&gt;NHS England and NHS Improvement&lt;/Author&gt;&lt;Year&gt;2020&lt;/Year&gt;&lt;IDText&gt;National schedule of NHS costs 2019&lt;/IDText&gt;&lt;DisplayText&gt;&lt;style face="superscript"&gt;20,21&lt;/style&gt;&lt;/DisplayText&gt;&lt;record&gt;&lt;urls&gt;&lt;related-urls&gt;&lt;url&gt;https://www.england.nhs.uk/wp-content/uploads/2020/08/2_-_National_schedule_of_NHS_costs_V2.xlsx&lt;/url&gt;&lt;/related-urls&gt;&lt;/urls&gt;&lt;titles&gt;&lt;title&gt;National schedule of NHS costs 2019&lt;/title&gt;&lt;/titles&gt;&lt;access-date&gt;24/05/2021&lt;/access-date&gt;&lt;contributors&gt;&lt;authors&gt;&lt;author&gt;NHS England and NHS Improvement,&lt;/author&gt;&lt;/authors&gt;&lt;/contributors&gt;&lt;added-date format="utc"&gt;1621867475&lt;/added-date&gt;&lt;ref-type name="Dataset"&gt;59&lt;/ref-type&gt;&lt;dates&gt;&lt;year&gt;2020&lt;/year&gt;&lt;/dates&gt;&lt;rec-number&gt;194&lt;/rec-number&gt;&lt;last-updated-date format="utc"&gt;1621867475&lt;/last-updated-date&gt;&lt;/record&gt;&lt;/Cite&gt;&lt;Cite&gt;&lt;Author&gt;Curtis&lt;/Author&gt;&lt;Year&gt;2019&lt;/Year&gt;&lt;IDText&gt;Unit Costs of Health and Social Care 2019&lt;/IDText&gt;&lt;record&gt;&lt;titles&gt;&lt;title&gt;Unit Costs of Health and Social Care 2019&lt;/title&gt;&lt;/titles&gt;&lt;contributors&gt;&lt;authors&gt;&lt;author&gt;Curtis, L.&lt;/author&gt;&lt;author&gt;Burns, A.&lt;/author&gt;&lt;/authors&gt;&lt;/contributors&gt;&lt;added-date format="utc"&gt;1621867475&lt;/added-date&gt;&lt;pub-location&gt;Canterbury&lt;/pub-location&gt;&lt;ref-type name="Book"&gt;6&lt;/ref-type&gt;&lt;dates&gt;&lt;year&gt;2019&lt;/year&gt;&lt;/dates&gt;&lt;rec-number&gt;192&lt;/rec-number&gt;&lt;publisher&gt;Personal Social Services Research Unit, University of Kent&lt;/publisher&gt;&lt;last-updated-date format="utc"&gt;1621867475&lt;/last-updated-date&gt;&lt;electronic-resource-num&gt;10.22024/UniKent/01.02.79286&lt;/electronic-resource-num&gt;&lt;/record&gt;&lt;/Cite&gt;&lt;/EndNote&gt;</w:instrText>
            </w:r>
            <w:r w:rsidRPr="00A20A17">
              <w:rPr>
                <w:rFonts w:ascii="Calibri" w:eastAsia="Calibri" w:hAnsi="Calibri" w:cs="Arial"/>
                <w:sz w:val="18"/>
                <w:szCs w:val="18"/>
              </w:rPr>
              <w:fldChar w:fldCharType="separate"/>
            </w:r>
            <w:r w:rsidRPr="00A20A17">
              <w:rPr>
                <w:rFonts w:ascii="Calibri" w:eastAsia="Calibri" w:hAnsi="Calibri" w:cs="Arial"/>
                <w:noProof/>
                <w:sz w:val="18"/>
                <w:szCs w:val="18"/>
                <w:vertAlign w:val="superscript"/>
              </w:rPr>
              <w:t>20,21</w:t>
            </w:r>
            <w:r w:rsidRPr="00A20A17">
              <w:rPr>
                <w:rFonts w:ascii="Calibri" w:eastAsia="Calibri" w:hAnsi="Calibri" w:cs="Arial"/>
                <w:sz w:val="18"/>
                <w:szCs w:val="18"/>
              </w:rPr>
              <w:fldChar w:fldCharType="end"/>
            </w:r>
            <w:r w:rsidRPr="00A20A17">
              <w:rPr>
                <w:rFonts w:ascii="Calibri" w:eastAsia="Calibri" w:hAnsi="Calibri" w:cs="Arial"/>
                <w:sz w:val="18"/>
                <w:szCs w:val="18"/>
              </w:rPr>
              <w:t>.</w:t>
            </w:r>
          </w:p>
          <w:p w14:paraId="78093DFC" w14:textId="77777777" w:rsidR="00FE37DB" w:rsidRPr="00A20A17" w:rsidRDefault="00FE37DB" w:rsidP="00A80B48">
            <w:pPr>
              <w:spacing w:before="60" w:after="60" w:line="240" w:lineRule="auto"/>
              <w:rPr>
                <w:rFonts w:ascii="Calibri" w:eastAsia="Calibri" w:hAnsi="Calibri" w:cs="Arial"/>
                <w:sz w:val="18"/>
                <w:szCs w:val="18"/>
              </w:rPr>
            </w:pPr>
          </w:p>
          <w:p w14:paraId="159BE6D5" w14:textId="77777777" w:rsidR="00FE37DB" w:rsidRPr="00A20A17" w:rsidRDefault="00FE37DB" w:rsidP="00A80B48">
            <w:pPr>
              <w:spacing w:before="60" w:after="60" w:line="240" w:lineRule="auto"/>
              <w:rPr>
                <w:rFonts w:ascii="Calibri" w:eastAsia="Calibri" w:hAnsi="Calibri" w:cs="Arial"/>
                <w:sz w:val="18"/>
                <w:szCs w:val="18"/>
              </w:rPr>
            </w:pPr>
          </w:p>
        </w:tc>
        <w:tc>
          <w:tcPr>
            <w:tcW w:w="0" w:type="auto"/>
          </w:tcPr>
          <w:p w14:paraId="18F33DA4"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 xml:space="preserve">The Walker et al costs may not be generalisable to FH individuals. The NICE CG181 are an alternative, given that they were validated by the guideline development group (albeit for the general population rather than not specifically individuals with FH) </w:t>
            </w:r>
            <w:r w:rsidRPr="00A20A17">
              <w:rPr>
                <w:rFonts w:ascii="Calibri" w:eastAsia="Calibri" w:hAnsi="Calibri" w:cs="Arial"/>
                <w:sz w:val="18"/>
                <w:szCs w:val="18"/>
              </w:rPr>
              <w:fldChar w:fldCharType="begin"/>
            </w:r>
            <w:r w:rsidRPr="00A20A17">
              <w:rPr>
                <w:rFonts w:ascii="Calibri" w:eastAsia="Calibri" w:hAnsi="Calibri" w:cs="Arial"/>
                <w:sz w:val="18"/>
                <w:szCs w:val="18"/>
              </w:rPr>
              <w:instrText xml:space="preserve"> ADDIN EN.CITE &lt;EndNote&gt;&lt;Cite&gt;&lt;Author&gt;NICE&lt;/Author&gt;&lt;Year&gt;2014&lt;/Year&gt;&lt;IDText&gt;Clinical guideline 181. Lipid modification: cardiovascular risk assessment and the modification of blood lipids for the primary and secondary prevention of cardiovascular disease&lt;/IDText&gt;&lt;DisplayText&gt;&lt;style face="superscript"&gt;12&lt;/style&gt;&lt;/DisplayText&gt;&lt;record&gt;&lt;titles&gt;&lt;title&gt;Clinical guideline 181. Lipid modification: cardiovascular risk assessment and the modification of blood lipids for the primary and secondary prevention of cardiovascular disease&lt;/title&gt;&lt;short-title&gt;Clinical guideline 181. Lipid modification: cardiovascular risk assessment and the modification of blood lipids for the primary and secondary prevention of cardiovascular disease&lt;/short-title&gt;&lt;/titles&gt;&lt;contributors&gt;&lt;authors&gt;&lt;author&gt;NICE&lt;/author&gt;&lt;/authors&gt;&lt;/contributors&gt;&lt;added-date format="utc"&gt;1603453281&lt;/added-date&gt;&lt;ref-type name="Report"&gt;27&lt;/ref-type&gt;&lt;dates&gt;&lt;year&gt;2014&lt;/year&gt;&lt;/dates&gt;&lt;rec-number&gt;62&lt;/rec-number&gt;&lt;last-updated-date format="utc"&gt;1603453281&lt;/last-updated-date&gt;&lt;/record&gt;&lt;/Cite&gt;&lt;/EndNote&gt;</w:instrText>
            </w:r>
            <w:r w:rsidRPr="00A20A17">
              <w:rPr>
                <w:rFonts w:ascii="Calibri" w:eastAsia="Calibri" w:hAnsi="Calibri" w:cs="Arial"/>
                <w:sz w:val="18"/>
                <w:szCs w:val="18"/>
              </w:rPr>
              <w:fldChar w:fldCharType="separate"/>
            </w:r>
            <w:r w:rsidRPr="00A20A17">
              <w:rPr>
                <w:rFonts w:ascii="Calibri" w:eastAsia="Calibri" w:hAnsi="Calibri" w:cs="Arial"/>
                <w:noProof/>
                <w:sz w:val="18"/>
                <w:szCs w:val="18"/>
                <w:vertAlign w:val="superscript"/>
              </w:rPr>
              <w:t>12</w:t>
            </w:r>
            <w:r w:rsidRPr="00A20A17">
              <w:rPr>
                <w:rFonts w:ascii="Calibri" w:eastAsia="Calibri" w:hAnsi="Calibri" w:cs="Arial"/>
                <w:sz w:val="18"/>
                <w:szCs w:val="18"/>
              </w:rPr>
              <w:fldChar w:fldCharType="end"/>
            </w:r>
            <w:r w:rsidRPr="00A20A17">
              <w:rPr>
                <w:rFonts w:ascii="Calibri" w:eastAsia="Calibri" w:hAnsi="Calibri" w:cs="Arial"/>
                <w:sz w:val="18"/>
                <w:szCs w:val="18"/>
              </w:rPr>
              <w:t xml:space="preserve"> . </w:t>
            </w:r>
          </w:p>
        </w:tc>
      </w:tr>
      <w:tr w:rsidR="00FE37DB" w:rsidRPr="00A20A17" w14:paraId="0D382931" w14:textId="77777777" w:rsidTr="00A80B48">
        <w:tc>
          <w:tcPr>
            <w:tcW w:w="0" w:type="auto"/>
          </w:tcPr>
          <w:p w14:paraId="30E21B55" w14:textId="77777777" w:rsidR="00FE37DB" w:rsidRPr="00A20A17" w:rsidRDefault="00FE37DB" w:rsidP="00A80B48">
            <w:pPr>
              <w:spacing w:before="60" w:after="60" w:line="240" w:lineRule="auto"/>
              <w:rPr>
                <w:rFonts w:ascii="Calibri" w:eastAsia="Calibri" w:hAnsi="Calibri" w:cs="Arial"/>
                <w:b/>
                <w:bCs/>
                <w:sz w:val="18"/>
                <w:szCs w:val="18"/>
              </w:rPr>
            </w:pPr>
            <w:r w:rsidRPr="00A20A17">
              <w:rPr>
                <w:rFonts w:ascii="Calibri" w:eastAsia="Calibri" w:hAnsi="Calibri" w:cs="Arial"/>
                <w:b/>
                <w:bCs/>
                <w:sz w:val="18"/>
                <w:szCs w:val="18"/>
              </w:rPr>
              <w:t>The costs of care post-CV events are constant over time.</w:t>
            </w:r>
          </w:p>
        </w:tc>
        <w:tc>
          <w:tcPr>
            <w:tcW w:w="0" w:type="auto"/>
            <w:shd w:val="clear" w:color="auto" w:fill="auto"/>
          </w:tcPr>
          <w:p w14:paraId="6D3F614B" w14:textId="77777777" w:rsidR="00FE37DB" w:rsidRPr="00A20A17" w:rsidRDefault="00FE37DB" w:rsidP="00A80B48">
            <w:pPr>
              <w:numPr>
                <w:ilvl w:val="0"/>
                <w:numId w:val="8"/>
              </w:numPr>
              <w:spacing w:before="60" w:after="60" w:line="240" w:lineRule="auto"/>
              <w:rPr>
                <w:rFonts w:ascii="Calibri" w:eastAsia="Calibri" w:hAnsi="Calibri" w:cs="Arial"/>
                <w:sz w:val="18"/>
                <w:szCs w:val="18"/>
              </w:rPr>
            </w:pPr>
            <w:r w:rsidRPr="00A20A17">
              <w:rPr>
                <w:rFonts w:ascii="Calibri" w:eastAsia="Calibri" w:hAnsi="Calibri" w:cs="Arial"/>
                <w:sz w:val="18"/>
                <w:szCs w:val="18"/>
              </w:rPr>
              <w:t xml:space="preserve">Increased costs of care (by 25%) to account for the increased risk of recurrent events compared to the general population. </w:t>
            </w:r>
          </w:p>
          <w:p w14:paraId="33847D26" w14:textId="77777777" w:rsidR="00FE37DB" w:rsidRPr="00A20A17" w:rsidRDefault="00FE37DB" w:rsidP="00A80B48">
            <w:pPr>
              <w:spacing w:before="60" w:after="60" w:line="240" w:lineRule="auto"/>
              <w:ind w:left="720"/>
              <w:rPr>
                <w:rFonts w:ascii="Calibri" w:eastAsia="Calibri" w:hAnsi="Calibri" w:cs="Arial"/>
                <w:sz w:val="18"/>
                <w:szCs w:val="18"/>
              </w:rPr>
            </w:pPr>
          </w:p>
        </w:tc>
        <w:tc>
          <w:tcPr>
            <w:tcW w:w="0" w:type="auto"/>
          </w:tcPr>
          <w:p w14:paraId="7CC1DADD"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 xml:space="preserve">The Walker et al </w:t>
            </w:r>
            <w:r w:rsidRPr="00A20A17">
              <w:rPr>
                <w:rFonts w:ascii="Calibri" w:eastAsia="Calibri" w:hAnsi="Calibri" w:cs="Arial"/>
                <w:sz w:val="18"/>
                <w:szCs w:val="18"/>
              </w:rPr>
              <w:fldChar w:fldCharType="begin"/>
            </w:r>
            <w:r w:rsidRPr="00A20A17">
              <w:rPr>
                <w:rFonts w:ascii="Calibri" w:eastAsia="Calibri" w:hAnsi="Calibri" w:cs="Arial"/>
                <w:sz w:val="18"/>
                <w:szCs w:val="18"/>
              </w:rPr>
              <w:instrText xml:space="preserve"> ADDIN EN.CITE &lt;EndNote&gt;&lt;Cite&gt;&lt;Author&gt;Walker&lt;/Author&gt;&lt;Year&gt;2016&lt;/Year&gt;&lt;IDText&gt;Long-term healthcare use and costs in patients with stable coronary artery disease: a population-based cohort using linked health records (CALIBER)&lt;/IDText&gt;&lt;DisplayText&gt;&lt;style face="superscript"&gt;22&lt;/style&gt;&lt;/DisplayText&gt;&lt;record&gt;&lt;dates&gt;&lt;pub-dates&gt;&lt;date&gt;Jan&lt;/date&gt;&lt;/pub-dates&gt;&lt;year&gt;2016&lt;/year&gt;&lt;/dates&gt;&lt;keywords&gt;&lt;keyword&gt;Costs&lt;/keyword&gt;&lt;keyword&gt;Electronic health records&lt;/keyword&gt;&lt;keyword&gt;Resource use&lt;/keyword&gt;&lt;keyword&gt;Stable coronary artery disease&lt;/keyword&gt;&lt;/keywords&gt;&lt;urls&gt;&lt;related-urls&gt;&lt;url&gt;https://www.ncbi.nlm.nih.gov/pubmed/27042338&lt;/url&gt;&lt;/related-urls&gt;&lt;/urls&gt;&lt;isbn&gt;2058-5225&lt;/isbn&gt;&lt;custom2&gt;PMC4816202&lt;/custom2&gt;&lt;titles&gt;&lt;title&gt;Long-term healthcare use and costs in patients with stable coronary artery disease: a population-based cohort using linked health records (CALIBER)&lt;/title&gt;&lt;secondary-title&gt;Eur Heart J Qual Care Clin Outcomes&lt;/secondary-title&gt;&lt;/titles&gt;&lt;pages&gt;125-140&lt;/pages&gt;&lt;number&gt;2&lt;/number&gt;&lt;contributors&gt;&lt;authors&gt;&lt;author&gt;Walker, S.&lt;/author&gt;&lt;author&gt;Asaria, M.&lt;/author&gt;&lt;author&gt;Manca, A.&lt;/author&gt;&lt;author&gt;Palmer, S.&lt;/author&gt;&lt;author&gt;Gale, C. P.&lt;/author&gt;&lt;author&gt;Shah, A. D.&lt;/author&gt;&lt;author&gt;Abrams, K. R.&lt;/author&gt;&lt;author&gt;Crowther, M.&lt;/author&gt;&lt;author&gt;Timmis, A.&lt;/author&gt;&lt;author&gt;Hemingway, H.&lt;/author&gt;&lt;author&gt;Sculpher, M.&lt;/author&gt;&lt;/authors&gt;&lt;/contributors&gt;&lt;language&gt;eng&lt;/language&gt;&lt;added-date format="utc"&gt;1621865848&lt;/added-date&gt;&lt;ref-type name="Journal Article"&gt;17&lt;/ref-type&gt;&lt;rec-number&gt;185&lt;/rec-number&gt;&lt;last-updated-date format="utc"&gt;1621865848&lt;/last-updated-date&gt;&lt;accession-num&gt;27042338&lt;/accession-num&gt;&lt;electronic-resource-num&gt;10.1093/ehjqcco/qcw003&lt;/electronic-resource-num&gt;&lt;volume&gt;2&lt;/volume&gt;&lt;/record&gt;&lt;/Cite&gt;&lt;/EndNote&gt;</w:instrText>
            </w:r>
            <w:r w:rsidRPr="00A20A17">
              <w:rPr>
                <w:rFonts w:ascii="Calibri" w:eastAsia="Calibri" w:hAnsi="Calibri" w:cs="Arial"/>
                <w:sz w:val="18"/>
                <w:szCs w:val="18"/>
              </w:rPr>
              <w:fldChar w:fldCharType="separate"/>
            </w:r>
            <w:r w:rsidRPr="00A20A17">
              <w:rPr>
                <w:rFonts w:ascii="Calibri" w:eastAsia="Calibri" w:hAnsi="Calibri" w:cs="Arial"/>
                <w:noProof/>
                <w:sz w:val="18"/>
                <w:szCs w:val="18"/>
                <w:vertAlign w:val="superscript"/>
              </w:rPr>
              <w:t>22</w:t>
            </w:r>
            <w:r w:rsidRPr="00A20A17">
              <w:rPr>
                <w:rFonts w:ascii="Calibri" w:eastAsia="Calibri" w:hAnsi="Calibri" w:cs="Arial"/>
                <w:sz w:val="18"/>
                <w:szCs w:val="18"/>
              </w:rPr>
              <w:fldChar w:fldCharType="end"/>
            </w:r>
            <w:r w:rsidRPr="00A20A17">
              <w:rPr>
                <w:rFonts w:ascii="Calibri" w:eastAsia="Calibri" w:hAnsi="Calibri" w:cs="Arial"/>
                <w:sz w:val="18"/>
                <w:szCs w:val="18"/>
              </w:rPr>
              <w:t xml:space="preserve">costs may not reflect the long-term risk of recurrent events experienced by FH individuals compared to individuals with stable coronary artery disease after a first CV event. </w:t>
            </w:r>
          </w:p>
          <w:p w14:paraId="33F65C1A"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 xml:space="preserve">Nanchen et al, which compared the hazard rates of recurrent events of individuals with and without FH following an ACS, reports hazard ratios of 2.46-3.53 depending on the definition of FH </w:t>
            </w:r>
            <w:r w:rsidRPr="00A20A17">
              <w:rPr>
                <w:rFonts w:ascii="Calibri" w:eastAsia="Calibri" w:hAnsi="Calibri" w:cs="Arial"/>
                <w:sz w:val="18"/>
                <w:szCs w:val="18"/>
              </w:rPr>
              <w:fldChar w:fldCharType="begin">
                <w:fldData xml:space="preserve">PEVuZE5vdGU+PENpdGU+PEF1dGhvcj5OYW5jaGVuPC9BdXRob3I+PFllYXI+MjAxNjwvWWVhcj48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</w:fldData>
              </w:fldChar>
            </w:r>
            <w:r w:rsidRPr="00A20A17">
              <w:rPr>
                <w:rFonts w:ascii="Calibri" w:eastAsia="Calibri" w:hAnsi="Calibri" w:cs="Arial"/>
                <w:sz w:val="18"/>
                <w:szCs w:val="18"/>
              </w:rPr>
              <w:instrText xml:space="preserve"> ADDIN EN.CITE </w:instrText>
            </w:r>
            <w:r w:rsidRPr="00A20A17">
              <w:rPr>
                <w:rFonts w:ascii="Calibri" w:eastAsia="Calibri" w:hAnsi="Calibri" w:cs="Arial"/>
                <w:sz w:val="18"/>
                <w:szCs w:val="18"/>
              </w:rPr>
              <w:fldChar w:fldCharType="begin">
                <w:fldData xml:space="preserve">PEVuZE5vdGU+PENpdGU+PEF1dGhvcj5OYW5jaGVuPC9BdXRob3I+PFllYXI+MjAxNjwvWWVhcj48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</w:fldData>
              </w:fldChar>
            </w:r>
            <w:r w:rsidRPr="00A20A17">
              <w:rPr>
                <w:rFonts w:ascii="Calibri" w:eastAsia="Calibri" w:hAnsi="Calibri" w:cs="Arial"/>
                <w:sz w:val="18"/>
                <w:szCs w:val="18"/>
              </w:rPr>
              <w:instrText xml:space="preserve"> ADDIN EN.CITE.DATA </w:instrText>
            </w:r>
            <w:r w:rsidRPr="00A20A17">
              <w:rPr>
                <w:rFonts w:ascii="Calibri" w:eastAsia="Calibri" w:hAnsi="Calibri" w:cs="Arial"/>
                <w:sz w:val="18"/>
                <w:szCs w:val="18"/>
              </w:rPr>
            </w:r>
            <w:r w:rsidRPr="00A20A17">
              <w:rPr>
                <w:rFonts w:ascii="Calibri" w:eastAsia="Calibri" w:hAnsi="Calibri" w:cs="Arial"/>
                <w:sz w:val="18"/>
                <w:szCs w:val="18"/>
              </w:rPr>
              <w:fldChar w:fldCharType="end"/>
            </w:r>
            <w:r w:rsidRPr="00A20A17">
              <w:rPr>
                <w:rFonts w:ascii="Calibri" w:eastAsia="Calibri" w:hAnsi="Calibri" w:cs="Arial"/>
                <w:sz w:val="18"/>
                <w:szCs w:val="18"/>
              </w:rPr>
            </w:r>
            <w:r w:rsidRPr="00A20A17">
              <w:rPr>
                <w:rFonts w:ascii="Calibri" w:eastAsia="Calibri" w:hAnsi="Calibri" w:cs="Arial"/>
                <w:sz w:val="18"/>
                <w:szCs w:val="18"/>
              </w:rPr>
              <w:fldChar w:fldCharType="separate"/>
            </w:r>
            <w:r w:rsidRPr="00A20A17">
              <w:rPr>
                <w:rFonts w:ascii="Calibri" w:eastAsia="Calibri" w:hAnsi="Calibri" w:cs="Arial"/>
                <w:noProof/>
                <w:sz w:val="18"/>
                <w:szCs w:val="18"/>
                <w:vertAlign w:val="superscript"/>
              </w:rPr>
              <w:t>29</w:t>
            </w:r>
            <w:r w:rsidRPr="00A20A17">
              <w:rPr>
                <w:rFonts w:ascii="Calibri" w:eastAsia="Calibri" w:hAnsi="Calibri" w:cs="Arial"/>
                <w:sz w:val="18"/>
                <w:szCs w:val="18"/>
              </w:rPr>
              <w:fldChar w:fldCharType="end"/>
            </w:r>
            <w:r w:rsidRPr="00A20A17">
              <w:rPr>
                <w:rFonts w:ascii="Calibri" w:eastAsia="Calibri" w:hAnsi="Calibri" w:cs="Arial"/>
                <w:sz w:val="18"/>
                <w:szCs w:val="18"/>
              </w:rPr>
              <w:t>.</w:t>
            </w:r>
          </w:p>
        </w:tc>
      </w:tr>
      <w:tr w:rsidR="00FE37DB" w:rsidRPr="00A20A17" w14:paraId="57A6D940" w14:textId="77777777" w:rsidTr="00A80B48">
        <w:tc>
          <w:tcPr>
            <w:tcW w:w="0" w:type="auto"/>
            <w:gridSpan w:val="3"/>
            <w:shd w:val="clear" w:color="auto" w:fill="E7E6E6"/>
          </w:tcPr>
          <w:p w14:paraId="3E90E4D0"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Scenarios on health-related quality of life</w:t>
            </w:r>
          </w:p>
        </w:tc>
      </w:tr>
      <w:tr w:rsidR="00FE37DB" w:rsidRPr="00A20A17" w14:paraId="5C1B72FE" w14:textId="77777777" w:rsidTr="00A80B48">
        <w:tc>
          <w:tcPr>
            <w:tcW w:w="0" w:type="auto"/>
          </w:tcPr>
          <w:p w14:paraId="36E95659" w14:textId="77777777" w:rsidR="00FE37DB" w:rsidRPr="00A20A17" w:rsidRDefault="00FE37DB" w:rsidP="00A80B48">
            <w:pPr>
              <w:spacing w:before="60" w:after="60" w:line="240" w:lineRule="auto"/>
              <w:rPr>
                <w:rFonts w:ascii="Calibri" w:eastAsia="Calibri" w:hAnsi="Calibri" w:cs="Arial"/>
                <w:b/>
                <w:sz w:val="18"/>
                <w:szCs w:val="18"/>
              </w:rPr>
            </w:pPr>
            <w:r w:rsidRPr="00A20A17">
              <w:rPr>
                <w:rFonts w:ascii="Calibri" w:eastAsia="Calibri" w:hAnsi="Calibri" w:cs="Arial"/>
                <w:b/>
                <w:sz w:val="18"/>
                <w:szCs w:val="18"/>
              </w:rPr>
              <w:t>We obtain health-related quality of life weights for the health states from the NICE CG181.</w:t>
            </w:r>
          </w:p>
        </w:tc>
        <w:tc>
          <w:tcPr>
            <w:tcW w:w="0" w:type="auto"/>
          </w:tcPr>
          <w:p w14:paraId="30A275F7" w14:textId="77777777" w:rsidR="00FE37DB" w:rsidRPr="00A20A17" w:rsidRDefault="00FE37DB" w:rsidP="00A80B48">
            <w:pPr>
              <w:numPr>
                <w:ilvl w:val="0"/>
                <w:numId w:val="8"/>
              </w:numPr>
              <w:spacing w:before="60" w:after="60" w:line="240" w:lineRule="auto"/>
              <w:rPr>
                <w:rFonts w:ascii="Calibri" w:eastAsia="Calibri" w:hAnsi="Calibri" w:cs="Arial"/>
                <w:sz w:val="18"/>
                <w:szCs w:val="18"/>
              </w:rPr>
            </w:pPr>
            <w:r w:rsidRPr="00A20A17">
              <w:rPr>
                <w:rFonts w:ascii="Calibri" w:eastAsia="Calibri" w:hAnsi="Calibri" w:cs="Arial"/>
                <w:sz w:val="18"/>
                <w:szCs w:val="18"/>
              </w:rPr>
              <w:t xml:space="preserve">We obtain the weights from Ara et al, given that these were used for TA393 </w:t>
            </w:r>
            <w:r w:rsidRPr="00A20A17">
              <w:rPr>
                <w:rFonts w:ascii="Calibri" w:eastAsia="Calibri" w:hAnsi="Calibri" w:cs="Arial"/>
                <w:sz w:val="18"/>
                <w:szCs w:val="18"/>
              </w:rPr>
              <w:fldChar w:fldCharType="begin">
                <w:fldData xml:space="preserve">PEVuZE5vdGU+PENpdGU+PEF1dGhvcj5BcmE8L0F1dGhvcj48WWVhcj4yMDEwPC9ZZWFyPjxJRFRl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</w:fldData>
              </w:fldChar>
            </w:r>
            <w:r w:rsidRPr="00A20A17">
              <w:rPr>
                <w:rFonts w:ascii="Calibri" w:eastAsia="Calibri" w:hAnsi="Calibri" w:cs="Arial"/>
                <w:sz w:val="18"/>
                <w:szCs w:val="18"/>
              </w:rPr>
              <w:instrText xml:space="preserve"> ADDIN EN.CITE </w:instrText>
            </w:r>
            <w:r w:rsidRPr="00A20A17">
              <w:rPr>
                <w:rFonts w:ascii="Calibri" w:eastAsia="Calibri" w:hAnsi="Calibri" w:cs="Arial"/>
                <w:sz w:val="18"/>
                <w:szCs w:val="18"/>
              </w:rPr>
              <w:fldChar w:fldCharType="begin">
                <w:fldData xml:space="preserve">PEVuZE5vdGU+PENpdGU+PEF1dGhvcj5BcmE8L0F1dGhvcj48WWVhcj4yMDEwPC9ZZWFyPjxJRFRl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</w:fldData>
              </w:fldChar>
            </w:r>
            <w:r w:rsidRPr="00A20A17">
              <w:rPr>
                <w:rFonts w:ascii="Calibri" w:eastAsia="Calibri" w:hAnsi="Calibri" w:cs="Arial"/>
                <w:sz w:val="18"/>
                <w:szCs w:val="18"/>
              </w:rPr>
              <w:instrText xml:space="preserve"> ADDIN EN.CITE.DATA </w:instrText>
            </w:r>
            <w:r w:rsidRPr="00A20A17">
              <w:rPr>
                <w:rFonts w:ascii="Calibri" w:eastAsia="Calibri" w:hAnsi="Calibri" w:cs="Arial"/>
                <w:sz w:val="18"/>
                <w:szCs w:val="18"/>
              </w:rPr>
            </w:r>
            <w:r w:rsidRPr="00A20A17">
              <w:rPr>
                <w:rFonts w:ascii="Calibri" w:eastAsia="Calibri" w:hAnsi="Calibri" w:cs="Arial"/>
                <w:sz w:val="18"/>
                <w:szCs w:val="18"/>
              </w:rPr>
              <w:fldChar w:fldCharType="end"/>
            </w:r>
            <w:r w:rsidRPr="00A20A17">
              <w:rPr>
                <w:rFonts w:ascii="Calibri" w:eastAsia="Calibri" w:hAnsi="Calibri" w:cs="Arial"/>
                <w:sz w:val="18"/>
                <w:szCs w:val="18"/>
              </w:rPr>
            </w:r>
            <w:r w:rsidRPr="00A20A17">
              <w:rPr>
                <w:rFonts w:ascii="Calibri" w:eastAsia="Calibri" w:hAnsi="Calibri" w:cs="Arial"/>
                <w:sz w:val="18"/>
                <w:szCs w:val="18"/>
              </w:rPr>
              <w:fldChar w:fldCharType="separate"/>
            </w:r>
            <w:r w:rsidRPr="00A20A17">
              <w:rPr>
                <w:rFonts w:ascii="Calibri" w:eastAsia="Calibri" w:hAnsi="Calibri" w:cs="Arial"/>
                <w:noProof/>
                <w:sz w:val="18"/>
                <w:szCs w:val="18"/>
                <w:vertAlign w:val="superscript"/>
              </w:rPr>
              <w:t>13,30</w:t>
            </w:r>
            <w:r w:rsidRPr="00A20A17">
              <w:rPr>
                <w:rFonts w:ascii="Calibri" w:eastAsia="Calibri" w:hAnsi="Calibri" w:cs="Arial"/>
                <w:sz w:val="18"/>
                <w:szCs w:val="18"/>
              </w:rPr>
              <w:fldChar w:fldCharType="end"/>
            </w:r>
            <w:r w:rsidRPr="00A20A17">
              <w:rPr>
                <w:rFonts w:ascii="Calibri" w:eastAsia="Calibri" w:hAnsi="Calibri" w:cs="Arial"/>
                <w:sz w:val="18"/>
                <w:szCs w:val="18"/>
              </w:rPr>
              <w:t>.</w:t>
            </w:r>
          </w:p>
          <w:p w14:paraId="63945234" w14:textId="77777777" w:rsidR="00FE37DB" w:rsidRPr="00A20A17" w:rsidRDefault="00FE37DB" w:rsidP="00A80B48">
            <w:pPr>
              <w:spacing w:before="60" w:after="60" w:line="240" w:lineRule="auto"/>
              <w:rPr>
                <w:rFonts w:ascii="Calibri" w:eastAsia="Calibri" w:hAnsi="Calibri" w:cs="Arial"/>
                <w:sz w:val="18"/>
                <w:szCs w:val="18"/>
              </w:rPr>
            </w:pPr>
          </w:p>
          <w:p w14:paraId="4C228E0D" w14:textId="77777777" w:rsidR="00FE37DB" w:rsidRPr="00A20A17" w:rsidRDefault="00FE37DB" w:rsidP="00A80B48">
            <w:pPr>
              <w:spacing w:before="60" w:after="60" w:line="240" w:lineRule="auto"/>
              <w:rPr>
                <w:rFonts w:ascii="Calibri" w:eastAsia="Calibri" w:hAnsi="Calibri" w:cs="Arial"/>
                <w:sz w:val="18"/>
                <w:szCs w:val="18"/>
              </w:rPr>
            </w:pPr>
          </w:p>
        </w:tc>
        <w:tc>
          <w:tcPr>
            <w:tcW w:w="0" w:type="auto"/>
          </w:tcPr>
          <w:p w14:paraId="64B0578C"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 xml:space="preserve">The base-case uses the HRQoL used in the NICE CG181 (and CG71) analysis </w:t>
            </w:r>
            <w:r w:rsidRPr="00A20A17">
              <w:rPr>
                <w:rFonts w:ascii="Calibri" w:eastAsia="Calibri" w:hAnsi="Calibri" w:cs="Arial"/>
                <w:sz w:val="18"/>
                <w:szCs w:val="18"/>
              </w:rPr>
              <w:fldChar w:fldCharType="begin"/>
            </w:r>
            <w:r w:rsidRPr="00A20A17">
              <w:rPr>
                <w:rFonts w:ascii="Calibri" w:eastAsia="Calibri" w:hAnsi="Calibri" w:cs="Arial"/>
                <w:sz w:val="18"/>
                <w:szCs w:val="18"/>
              </w:rPr>
              <w:instrText xml:space="preserve"> ADDIN EN.CITE &lt;EndNote&gt;&lt;Cite&gt;&lt;Author&gt;NICE&lt;/Author&gt;&lt;Year&gt;2014&lt;/Year&gt;&lt;IDText&gt;Clinical guideline 181. Lipid modification: cardiovascular risk assessment and the modification of blood lipids for the primary and secondary prevention of cardiovascular disease&lt;/IDText&gt;&lt;DisplayText&gt;&lt;style face="superscript"&gt;6,12&lt;/style&gt;&lt;/DisplayText&gt;&lt;record&gt;&lt;titles&gt;&lt;title&gt;Clinical guideline 181. Lipid modification: cardiovascular risk assessment and the modification of blood lipids for the primary and secondary prevention of cardiovascular disease&lt;/title&gt;&lt;short-title&gt;Clinical guideline 181. Lipid modification: cardiovascular risk assessment and the modification of blood lipids for the primary and secondary prevention of cardiovascular disease&lt;/short-title&gt;&lt;/titles&gt;&lt;contributors&gt;&lt;authors&gt;&lt;author&gt;NICE&lt;/author&gt;&lt;/authors&gt;&lt;/contributors&gt;&lt;added-date format="utc"&gt;1603453281&lt;/added-date&gt;&lt;ref-type name="Report"&gt;27&lt;/ref-type&gt;&lt;dates&gt;&lt;year&gt;2014&lt;/year&gt;&lt;/dates&gt;&lt;rec-number&gt;62&lt;/rec-number&gt;&lt;last-updated-date format="utc"&gt;1603453281&lt;/last-updated-date&gt;&lt;/record&gt;&lt;/Cite&gt;&lt;Cite&gt;&lt;Author&gt;NICE&lt;/Author&gt;&lt;Year&gt;2019&lt;/Year&gt;&lt;IDText&gt;Clinical guideline 71: identification and management of familial hypercholesterolaemia&lt;/IDText&gt;&lt;record&gt;&lt;urls&gt;&lt;related-urls&gt;&lt;url&gt;https://www.nice.org.uk/guidance/cg71&lt;/url&gt;&lt;/related-urls&gt;&lt;/urls&gt;&lt;titles&gt;&lt;title&gt;Clinical guideline 71: identification and management of familial hypercholesterolaemia&lt;/title&gt;&lt;short-title&gt;Clinical guideline 71: identification and management of familial hypercholesterolaemia&lt;/short-title&gt;&lt;/titles&gt;&lt;access-date&gt;24/05/2021&lt;/access-date&gt;&lt;contributors&gt;&lt;authors&gt;&lt;author&gt;NICE&lt;/author&gt;&lt;/authors&gt;&lt;/contributors&gt;&lt;added-date format="utc"&gt;1603453281&lt;/added-date&gt;&lt;pub-location&gt;London, Manchester&lt;/pub-location&gt;&lt;ref-type name="Report"&gt;27&lt;/ref-type&gt;&lt;dates&gt;&lt;year&gt;2019&lt;/year&gt;&lt;/dates&gt;&lt;rec-number&gt;59&lt;/rec-number&gt;&lt;publisher&gt;NICE&lt;/publisher&gt;&lt;last-updated-date format="utc"&gt;1621854827&lt;/last-updated-date&gt;&lt;/record&gt;&lt;/Cite&gt;&lt;/EndNote&gt;</w:instrText>
            </w:r>
            <w:r w:rsidRPr="00A20A17">
              <w:rPr>
                <w:rFonts w:ascii="Calibri" w:eastAsia="Calibri" w:hAnsi="Calibri" w:cs="Arial"/>
                <w:sz w:val="18"/>
                <w:szCs w:val="18"/>
              </w:rPr>
              <w:fldChar w:fldCharType="separate"/>
            </w:r>
            <w:r w:rsidRPr="00A20A17">
              <w:rPr>
                <w:rFonts w:ascii="Calibri" w:eastAsia="Calibri" w:hAnsi="Calibri" w:cs="Arial"/>
                <w:noProof/>
                <w:sz w:val="18"/>
                <w:szCs w:val="18"/>
                <w:vertAlign w:val="superscript"/>
              </w:rPr>
              <w:t>6,12</w:t>
            </w:r>
            <w:r w:rsidRPr="00A20A17">
              <w:rPr>
                <w:rFonts w:ascii="Calibri" w:eastAsia="Calibri" w:hAnsi="Calibri" w:cs="Arial"/>
                <w:sz w:val="18"/>
                <w:szCs w:val="18"/>
              </w:rPr>
              <w:fldChar w:fldCharType="end"/>
            </w:r>
            <w:r w:rsidRPr="00A20A17">
              <w:rPr>
                <w:rFonts w:ascii="Calibri" w:eastAsia="Calibri" w:hAnsi="Calibri" w:cs="Arial"/>
                <w:sz w:val="18"/>
                <w:szCs w:val="18"/>
              </w:rPr>
              <w:t>, given that these values were validated in NICE Committees and is consistent with the approach used for the non-</w:t>
            </w:r>
            <w:r>
              <w:rPr>
                <w:rFonts w:ascii="Calibri" w:eastAsia="Calibri" w:hAnsi="Calibri" w:cs="Arial"/>
                <w:sz w:val="18"/>
                <w:szCs w:val="18"/>
              </w:rPr>
              <w:t>FH</w:t>
            </w:r>
            <w:r w:rsidRPr="00A20A17">
              <w:rPr>
                <w:rFonts w:ascii="Calibri" w:eastAsia="Calibri" w:hAnsi="Calibri" w:cs="Arial"/>
                <w:sz w:val="18"/>
                <w:szCs w:val="18"/>
              </w:rPr>
              <w:t xml:space="preserve"> individuals. Ara et al is an alternative, given that it was based on UK general population EQ-5D data </w:t>
            </w:r>
            <w:r w:rsidRPr="00A20A17">
              <w:rPr>
                <w:rFonts w:ascii="Calibri" w:eastAsia="Calibri" w:hAnsi="Calibri" w:cs="Arial"/>
                <w:sz w:val="18"/>
                <w:szCs w:val="18"/>
              </w:rPr>
              <w:fldChar w:fldCharType="begin"/>
            </w:r>
            <w:r w:rsidRPr="00A20A17">
              <w:rPr>
                <w:rFonts w:ascii="Calibri" w:eastAsia="Calibri" w:hAnsi="Calibri" w:cs="Arial"/>
                <w:sz w:val="18"/>
                <w:szCs w:val="18"/>
              </w:rPr>
              <w:instrText xml:space="preserve"> ADDIN EN.CITE &lt;EndNote&gt;&lt;Cite&gt;&lt;Author&gt;Ara&lt;/Author&gt;&lt;Year&gt;2010&lt;/Year&gt;&lt;IDText&gt;Populating an economic model with health state utility values: moving toward better practice&lt;/IDText&gt;&lt;DisplayText&gt;&lt;style face="superscript"&gt;30&lt;/style&gt;&lt;/DisplayText&gt;&lt;record&gt;&lt;dates&gt;&lt;pub-dates&gt;&lt;date&gt;Aug&lt;/date&gt;&lt;/pub-dates&gt;&lt;year&gt;2010&lt;/year&gt;&lt;/dates&gt;&lt;keywords&gt;&lt;keyword&gt;Adolescent&lt;/keyword&gt;&lt;keyword&gt;Adult&lt;/keyword&gt;&lt;keyword&gt;Age Factors&lt;/keyword&gt;&lt;keyword&gt;Aged&lt;/keyword&gt;&lt;keyword&gt;Aged, 80 and over&lt;/keyword&gt;&lt;keyword&gt;Algorithms&lt;/keyword&gt;&lt;keyword&gt;Cardiovascular Diseases&lt;/keyword&gt;&lt;keyword&gt;Data Collection&lt;/keyword&gt;&lt;keyword&gt;Decision Making&lt;/keyword&gt;&lt;keyword&gt;England&lt;/keyword&gt;&lt;keyword&gt;Female&lt;/keyword&gt;&lt;keyword&gt;Health Status&lt;/keyword&gt;&lt;keyword&gt;Health Status Indicators&lt;/keyword&gt;&lt;keyword&gt;Humans&lt;/keyword&gt;&lt;keyword&gt;Male&lt;/keyword&gt;&lt;keyword&gt;Markov Chains&lt;/keyword&gt;&lt;keyword&gt;Middle Aged&lt;/keyword&gt;&lt;keyword&gt;Models, Economic&lt;/keyword&gt;&lt;keyword&gt;Pilot Projects&lt;/keyword&gt;&lt;keyword&gt;Quality of Life&lt;/keyword&gt;&lt;keyword&gt;Quality-Adjusted Life Years&lt;/keyword&gt;&lt;keyword&gt;Research Design&lt;/keyword&gt;&lt;keyword&gt;Surveys and Questionnaires&lt;/keyword&gt;&lt;keyword&gt;Young Adult&lt;/keyword&gt;&lt;/keywords&gt;&lt;urls&gt;&lt;related-urls&gt;&lt;url&gt;https://www.ncbi.nlm.nih.gov/pubmed/20230546&lt;/url&gt;&lt;/related-urls&gt;&lt;/urls&gt;&lt;isbn&gt;1524-4733&lt;/isbn&gt;&lt;titles&gt;&lt;title&gt;Populating an economic model with health state utility values: moving toward better practice&lt;/title&gt;&lt;secondary-title&gt;Value Health&lt;/secondary-title&gt;&lt;/titles&gt;&lt;pages&gt;509-18&lt;/pages&gt;&lt;number&gt;5&lt;/number&gt;&lt;contributors&gt;&lt;authors&gt;&lt;author&gt;Ara, R.&lt;/author&gt;&lt;author&gt;Brazier, J. E.&lt;/author&gt;&lt;/authors&gt;&lt;/contributors&gt;&lt;edition&gt;2010/03/10&lt;/edition&gt;&lt;language&gt;eng&lt;/language&gt;&lt;added-date format="utc"&gt;1621865848&lt;/added-date&gt;&lt;ref-type name="Journal Article"&gt;17&lt;/ref-type&gt;&lt;rec-number&gt;187&lt;/rec-number&gt;&lt;last-updated-date format="utc"&gt;1621865848&lt;/last-updated-date&gt;&lt;accession-num&gt;20230546&lt;/accession-num&gt;&lt;electronic-resource-num&gt;10.1111/j.1524-4733.2010.00700.x&lt;/electronic-resource-num&gt;&lt;volume&gt;13&lt;/volume&gt;&lt;/record&gt;&lt;/Cite&gt;&lt;/EndNote&gt;</w:instrText>
            </w:r>
            <w:r w:rsidRPr="00A20A17">
              <w:rPr>
                <w:rFonts w:ascii="Calibri" w:eastAsia="Calibri" w:hAnsi="Calibri" w:cs="Arial"/>
                <w:sz w:val="18"/>
                <w:szCs w:val="18"/>
              </w:rPr>
              <w:fldChar w:fldCharType="separate"/>
            </w:r>
            <w:r w:rsidRPr="00A20A17">
              <w:rPr>
                <w:rFonts w:ascii="Calibri" w:eastAsia="Calibri" w:hAnsi="Calibri" w:cs="Arial"/>
                <w:noProof/>
                <w:sz w:val="18"/>
                <w:szCs w:val="18"/>
                <w:vertAlign w:val="superscript"/>
              </w:rPr>
              <w:t>30</w:t>
            </w:r>
            <w:r w:rsidRPr="00A20A17">
              <w:rPr>
                <w:rFonts w:ascii="Calibri" w:eastAsia="Calibri" w:hAnsi="Calibri" w:cs="Arial"/>
                <w:sz w:val="18"/>
                <w:szCs w:val="18"/>
              </w:rPr>
              <w:fldChar w:fldCharType="end"/>
            </w:r>
            <w:r w:rsidRPr="00A20A17">
              <w:rPr>
                <w:rFonts w:ascii="Calibri" w:eastAsia="Calibri" w:hAnsi="Calibri" w:cs="Arial"/>
                <w:sz w:val="18"/>
                <w:szCs w:val="18"/>
              </w:rPr>
              <w:t>.</w:t>
            </w:r>
          </w:p>
        </w:tc>
      </w:tr>
      <w:tr w:rsidR="00FE37DB" w:rsidRPr="00A20A17" w14:paraId="327D9A9B" w14:textId="77777777" w:rsidTr="00A80B48">
        <w:tc>
          <w:tcPr>
            <w:tcW w:w="0" w:type="auto"/>
            <w:gridSpan w:val="3"/>
          </w:tcPr>
          <w:p w14:paraId="24177203" w14:textId="77777777" w:rsidR="00FE37DB" w:rsidRPr="00A20A17" w:rsidRDefault="00FE37DB" w:rsidP="00A80B48">
            <w:pPr>
              <w:spacing w:before="60" w:after="60" w:line="240" w:lineRule="auto"/>
              <w:jc w:val="both"/>
              <w:rPr>
                <w:rFonts w:ascii="Calibri" w:eastAsia="Calibri" w:hAnsi="Calibri" w:cs="Arial"/>
                <w:sz w:val="18"/>
                <w:szCs w:val="18"/>
              </w:rPr>
            </w:pPr>
            <w:r w:rsidRPr="00A20A17">
              <w:rPr>
                <w:rFonts w:ascii="Calibri" w:eastAsia="Calibri" w:hAnsi="Calibri" w:cs="Arial"/>
                <w:sz w:val="18"/>
                <w:szCs w:val="18"/>
              </w:rPr>
              <w:t xml:space="preserve">CG71: Clinical Guideline 71. CG181: Clinical Guideline 181. CPRD: Clinical Practice Research Datalink. CTTC: Cholesterol Treatment Trialists’ Collaboration. CV: Cardiovascular. EAS: European Atherosclerosis Society. FH: Familial Hypercholesterolaemia. LDLC: Low Density Lipoprotein Cholesterol. LLT: Lipid Lowering Treatment. NICE: National Institute for Health and Care Excellence. TA393: Technology Appraisal 393. </w:t>
            </w:r>
          </w:p>
        </w:tc>
      </w:tr>
    </w:tbl>
    <w:p w14:paraId="17A10B05" w14:textId="77777777" w:rsidR="00FE37DB" w:rsidRPr="00A20A17" w:rsidRDefault="00FE37DB" w:rsidP="00FE37DB">
      <w:pPr>
        <w:keepNext/>
        <w:keepLines/>
        <w:spacing w:before="240" w:after="120"/>
        <w:outlineLvl w:val="2"/>
        <w:rPr>
          <w:rFonts w:ascii="Calibri Light" w:eastAsia="Calibri Light" w:hAnsi="Calibri Light" w:cs="Times New Roman"/>
          <w:color w:val="1F3763"/>
          <w:sz w:val="24"/>
          <w:szCs w:val="24"/>
          <w:highlight w:val="yellow"/>
        </w:rPr>
        <w:sectPr w:rsidR="00FE37DB" w:rsidRPr="00A20A17" w:rsidSect="0008212B">
          <w:pgSz w:w="16838" w:h="11906" w:orient="landscape"/>
          <w:pgMar w:top="1440" w:right="1440" w:bottom="1440" w:left="1440" w:header="708" w:footer="708" w:gutter="0"/>
          <w:cols w:space="708"/>
          <w:docGrid w:linePitch="360"/>
        </w:sectPr>
      </w:pPr>
    </w:p>
    <w:p w14:paraId="18308913" w14:textId="77777777" w:rsidR="00FE37DB" w:rsidRPr="00A20A17" w:rsidRDefault="00FE37DB" w:rsidP="00FE37DB">
      <w:pPr>
        <w:keepNext/>
        <w:keepLines/>
        <w:spacing w:before="240" w:after="120"/>
        <w:outlineLvl w:val="1"/>
        <w:rPr>
          <w:rFonts w:ascii="Calibri Light" w:eastAsia="Calibri Light" w:hAnsi="Calibri Light" w:cs="Times New Roman"/>
          <w:color w:val="2F5496"/>
          <w:sz w:val="26"/>
          <w:szCs w:val="26"/>
        </w:rPr>
      </w:pPr>
      <w:bookmarkStart w:id="15" w:name="_Toc73625978"/>
      <w:r w:rsidRPr="00A20A17">
        <w:rPr>
          <w:rFonts w:ascii="Calibri Light" w:eastAsia="Calibri Light" w:hAnsi="Calibri Light" w:cs="Times New Roman"/>
          <w:color w:val="2F5496"/>
          <w:sz w:val="26"/>
          <w:szCs w:val="26"/>
        </w:rPr>
        <w:t>Model inputs for scenario analyses</w:t>
      </w:r>
      <w:bookmarkEnd w:id="15"/>
    </w:p>
    <w:p w14:paraId="1907519B" w14:textId="77777777" w:rsidR="00FE37DB" w:rsidRPr="00A20A17" w:rsidRDefault="00FE37DB" w:rsidP="00FE37DB">
      <w:pPr>
        <w:keepNext/>
        <w:spacing w:before="120"/>
        <w:rPr>
          <w:rFonts w:ascii="Calibri" w:eastAsia="Calibri" w:hAnsi="Calibri" w:cs="Arial"/>
          <w:i/>
          <w:iCs/>
          <w:color w:val="44546A"/>
          <w:sz w:val="18"/>
          <w:szCs w:val="18"/>
        </w:rPr>
      </w:pPr>
      <w:bookmarkStart w:id="16" w:name="_Hlk59633517"/>
      <w:r w:rsidRPr="00A20A17">
        <w:rPr>
          <w:rFonts w:ascii="Calibri" w:eastAsia="Calibri" w:hAnsi="Calibri" w:cs="Arial"/>
          <w:i/>
          <w:iCs/>
          <w:color w:val="44546A"/>
          <w:sz w:val="18"/>
          <w:szCs w:val="18"/>
        </w:rPr>
        <w:t xml:space="preserve">Table </w:t>
      </w:r>
      <w:r w:rsidRPr="00A20A17">
        <w:rPr>
          <w:rFonts w:ascii="Calibri" w:eastAsia="Calibri" w:hAnsi="Calibri" w:cs="Arial"/>
          <w:i/>
          <w:iCs/>
          <w:color w:val="44546A"/>
          <w:sz w:val="18"/>
          <w:szCs w:val="18"/>
        </w:rPr>
        <w:fldChar w:fldCharType="begin"/>
      </w:r>
      <w:r w:rsidRPr="00A20A17">
        <w:rPr>
          <w:rFonts w:ascii="Calibri" w:eastAsia="Calibri" w:hAnsi="Calibri" w:cs="Arial"/>
          <w:i/>
          <w:iCs/>
          <w:color w:val="44546A"/>
          <w:sz w:val="18"/>
          <w:szCs w:val="18"/>
        </w:rPr>
        <w:instrText>SEQ Table \* ARABIC</w:instrText>
      </w:r>
      <w:r w:rsidRPr="00A20A17">
        <w:rPr>
          <w:rFonts w:ascii="Calibri" w:eastAsia="Calibri" w:hAnsi="Calibri" w:cs="Arial"/>
          <w:i/>
          <w:iCs/>
          <w:color w:val="44546A"/>
          <w:sz w:val="18"/>
          <w:szCs w:val="18"/>
        </w:rPr>
        <w:fldChar w:fldCharType="separate"/>
      </w:r>
      <w:r w:rsidRPr="00A20A17">
        <w:rPr>
          <w:rFonts w:ascii="Calibri" w:eastAsia="Calibri" w:hAnsi="Calibri" w:cs="Arial"/>
          <w:i/>
          <w:iCs/>
          <w:noProof/>
          <w:color w:val="44546A"/>
          <w:sz w:val="18"/>
          <w:szCs w:val="18"/>
        </w:rPr>
        <w:t>18</w:t>
      </w:r>
      <w:r w:rsidRPr="00A20A17">
        <w:rPr>
          <w:rFonts w:ascii="Calibri" w:eastAsia="Calibri" w:hAnsi="Calibri" w:cs="Arial"/>
          <w:i/>
          <w:iCs/>
          <w:color w:val="44546A"/>
          <w:sz w:val="18"/>
          <w:szCs w:val="18"/>
        </w:rPr>
        <w:fldChar w:fldCharType="end"/>
      </w:r>
      <w:r w:rsidRPr="00A20A17">
        <w:rPr>
          <w:rFonts w:ascii="Calibri" w:eastAsia="Calibri" w:hAnsi="Calibri" w:cs="Arial"/>
          <w:i/>
          <w:iCs/>
          <w:color w:val="44546A"/>
          <w:sz w:val="18"/>
          <w:szCs w:val="18"/>
        </w:rPr>
        <w:t xml:space="preserve">: Model inputs for scenario 15: including the costs and QALY consequences related to new cases of type 2 diabetes caused by statins, obtained from NICE CG181 updated to 2019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2"/>
        <w:gridCol w:w="1174"/>
      </w:tblGrid>
      <w:tr w:rsidR="00FE37DB" w:rsidRPr="00A20A17" w14:paraId="33BD8B1B" w14:textId="77777777" w:rsidTr="00A80B48">
        <w:trPr>
          <w:trHeight w:val="300"/>
        </w:trPr>
        <w:tc>
          <w:tcPr>
            <w:tcW w:w="6222" w:type="dxa"/>
            <w:noWrap/>
            <w:hideMark/>
          </w:tcPr>
          <w:p w14:paraId="48D26786" w14:textId="77777777" w:rsidR="00FE37DB" w:rsidRPr="00A20A17" w:rsidRDefault="00FE37DB" w:rsidP="00A80B48">
            <w:pPr>
              <w:spacing w:after="120"/>
              <w:rPr>
                <w:rFonts w:ascii="Calibri" w:eastAsia="Calibri" w:hAnsi="Calibri" w:cs="Arial"/>
                <w:b/>
                <w:bCs/>
                <w:sz w:val="18"/>
                <w:szCs w:val="18"/>
              </w:rPr>
            </w:pPr>
            <w:r w:rsidRPr="00A20A17">
              <w:rPr>
                <w:rFonts w:ascii="Calibri" w:eastAsia="Calibri" w:hAnsi="Calibri" w:cs="Arial"/>
                <w:b/>
                <w:bCs/>
                <w:sz w:val="18"/>
                <w:szCs w:val="18"/>
              </w:rPr>
              <w:t>Analysis</w:t>
            </w:r>
          </w:p>
        </w:tc>
        <w:tc>
          <w:tcPr>
            <w:tcW w:w="1174" w:type="dxa"/>
            <w:noWrap/>
            <w:hideMark/>
          </w:tcPr>
          <w:p w14:paraId="4ADA4CB5" w14:textId="77777777" w:rsidR="00FE37DB" w:rsidRPr="00A20A17" w:rsidRDefault="00FE37DB" w:rsidP="00A80B48">
            <w:pPr>
              <w:spacing w:after="120"/>
              <w:rPr>
                <w:rFonts w:ascii="Calibri" w:eastAsia="Calibri" w:hAnsi="Calibri" w:cs="Arial"/>
                <w:b/>
                <w:bCs/>
                <w:sz w:val="18"/>
                <w:szCs w:val="18"/>
              </w:rPr>
            </w:pPr>
            <w:r w:rsidRPr="00A20A17">
              <w:rPr>
                <w:rFonts w:ascii="Calibri" w:eastAsia="Calibri" w:hAnsi="Calibri" w:cs="Arial"/>
                <w:b/>
                <w:bCs/>
                <w:sz w:val="18"/>
                <w:szCs w:val="18"/>
              </w:rPr>
              <w:t> Input</w:t>
            </w:r>
          </w:p>
        </w:tc>
      </w:tr>
      <w:tr w:rsidR="00FE37DB" w:rsidRPr="00A20A17" w14:paraId="144C0B2F" w14:textId="77777777" w:rsidTr="00A80B48">
        <w:trPr>
          <w:trHeight w:val="300"/>
        </w:trPr>
        <w:tc>
          <w:tcPr>
            <w:tcW w:w="6222" w:type="dxa"/>
            <w:shd w:val="clear" w:color="auto" w:fill="E7E6E6"/>
            <w:noWrap/>
          </w:tcPr>
          <w:p w14:paraId="098E4C00" w14:textId="77777777" w:rsidR="00FE37DB" w:rsidRPr="00A20A17" w:rsidRDefault="00FE37DB" w:rsidP="00A80B48">
            <w:pPr>
              <w:spacing w:after="120"/>
              <w:rPr>
                <w:rFonts w:ascii="Calibri" w:eastAsia="Calibri" w:hAnsi="Calibri" w:cs="Arial"/>
                <w:sz w:val="18"/>
                <w:szCs w:val="18"/>
              </w:rPr>
            </w:pPr>
            <w:r w:rsidRPr="00A20A17">
              <w:rPr>
                <w:rFonts w:ascii="Calibri" w:eastAsia="Calibri" w:hAnsi="Calibri" w:cs="Arial"/>
                <w:sz w:val="18"/>
                <w:szCs w:val="18"/>
              </w:rPr>
              <w:t>Costs in primary prevention, per individual started on lipid lowering treatment</w:t>
            </w:r>
          </w:p>
        </w:tc>
        <w:tc>
          <w:tcPr>
            <w:tcW w:w="1174" w:type="dxa"/>
            <w:shd w:val="clear" w:color="auto" w:fill="E7E6E6"/>
            <w:noWrap/>
          </w:tcPr>
          <w:p w14:paraId="33065087" w14:textId="77777777" w:rsidR="00FE37DB" w:rsidRPr="00A20A17" w:rsidRDefault="00FE37DB" w:rsidP="00A80B48">
            <w:pPr>
              <w:spacing w:after="120"/>
              <w:rPr>
                <w:rFonts w:ascii="Calibri" w:eastAsia="Calibri" w:hAnsi="Calibri" w:cs="Arial"/>
                <w:sz w:val="18"/>
                <w:szCs w:val="18"/>
              </w:rPr>
            </w:pPr>
          </w:p>
        </w:tc>
      </w:tr>
      <w:tr w:rsidR="00FE37DB" w:rsidRPr="00A20A17" w14:paraId="4B810E77" w14:textId="77777777" w:rsidTr="00A80B48">
        <w:trPr>
          <w:trHeight w:val="300"/>
        </w:trPr>
        <w:tc>
          <w:tcPr>
            <w:tcW w:w="6222" w:type="dxa"/>
            <w:noWrap/>
            <w:hideMark/>
          </w:tcPr>
          <w:p w14:paraId="4455D022" w14:textId="77777777" w:rsidR="00FE37DB" w:rsidRPr="00A20A17" w:rsidRDefault="00FE37DB" w:rsidP="00A80B48">
            <w:pPr>
              <w:spacing w:after="120"/>
              <w:rPr>
                <w:rFonts w:ascii="Calibri" w:eastAsia="Calibri" w:hAnsi="Calibri" w:cs="Arial"/>
                <w:sz w:val="18"/>
                <w:szCs w:val="18"/>
              </w:rPr>
            </w:pPr>
            <w:r w:rsidRPr="00A20A17">
              <w:rPr>
                <w:rFonts w:ascii="Calibri" w:eastAsia="Calibri" w:hAnsi="Calibri" w:cs="Arial"/>
                <w:sz w:val="18"/>
                <w:szCs w:val="18"/>
              </w:rPr>
              <w:t>Years 3 to 6 from treatment initiation</w:t>
            </w:r>
          </w:p>
        </w:tc>
        <w:tc>
          <w:tcPr>
            <w:tcW w:w="1174" w:type="dxa"/>
            <w:noWrap/>
            <w:hideMark/>
          </w:tcPr>
          <w:p w14:paraId="2B1E7BD3" w14:textId="77777777" w:rsidR="00FE37DB" w:rsidRPr="00A20A17" w:rsidRDefault="00FE37DB" w:rsidP="00A80B48">
            <w:pPr>
              <w:spacing w:after="120"/>
              <w:jc w:val="right"/>
              <w:rPr>
                <w:rFonts w:ascii="Calibri" w:eastAsia="Calibri" w:hAnsi="Calibri" w:cs="Arial"/>
                <w:sz w:val="18"/>
                <w:szCs w:val="18"/>
              </w:rPr>
            </w:pPr>
            <w:bookmarkStart w:id="17" w:name="RANGE!C129"/>
            <w:r w:rsidRPr="00A20A17">
              <w:rPr>
                <w:rFonts w:ascii="Calibri" w:eastAsia="Calibri" w:hAnsi="Calibri" w:cs="Arial"/>
                <w:sz w:val="18"/>
                <w:szCs w:val="18"/>
              </w:rPr>
              <w:t>£4.</w:t>
            </w:r>
            <w:bookmarkEnd w:id="17"/>
            <w:r w:rsidRPr="00A20A17">
              <w:rPr>
                <w:rFonts w:ascii="Calibri" w:eastAsia="Calibri" w:hAnsi="Calibri" w:cs="Arial"/>
                <w:sz w:val="18"/>
                <w:szCs w:val="18"/>
              </w:rPr>
              <w:t>60</w:t>
            </w:r>
          </w:p>
        </w:tc>
      </w:tr>
      <w:tr w:rsidR="00FE37DB" w:rsidRPr="00A20A17" w14:paraId="5DD6CD56" w14:textId="77777777" w:rsidTr="00A80B48">
        <w:trPr>
          <w:trHeight w:val="300"/>
        </w:trPr>
        <w:tc>
          <w:tcPr>
            <w:tcW w:w="6222" w:type="dxa"/>
            <w:noWrap/>
            <w:hideMark/>
          </w:tcPr>
          <w:p w14:paraId="3114C9A4" w14:textId="77777777" w:rsidR="00FE37DB" w:rsidRPr="00A20A17" w:rsidRDefault="00FE37DB" w:rsidP="00A80B48">
            <w:pPr>
              <w:spacing w:after="120"/>
              <w:rPr>
                <w:rFonts w:ascii="Calibri" w:eastAsia="Calibri" w:hAnsi="Calibri" w:cs="Arial"/>
                <w:sz w:val="18"/>
                <w:szCs w:val="18"/>
              </w:rPr>
            </w:pPr>
            <w:r w:rsidRPr="00A20A17">
              <w:rPr>
                <w:rFonts w:ascii="Calibri" w:eastAsia="Calibri" w:hAnsi="Calibri" w:cs="Arial"/>
                <w:sz w:val="18"/>
                <w:szCs w:val="18"/>
              </w:rPr>
              <w:t>Years 7 to 11 from treatment initiation</w:t>
            </w:r>
          </w:p>
        </w:tc>
        <w:tc>
          <w:tcPr>
            <w:tcW w:w="1174" w:type="dxa"/>
            <w:noWrap/>
            <w:hideMark/>
          </w:tcPr>
          <w:p w14:paraId="05886D53" w14:textId="77777777" w:rsidR="00FE37DB" w:rsidRPr="00A20A17" w:rsidRDefault="00FE37DB" w:rsidP="00A80B48">
            <w:pPr>
              <w:spacing w:after="120"/>
              <w:jc w:val="right"/>
              <w:rPr>
                <w:rFonts w:ascii="Calibri" w:eastAsia="Calibri" w:hAnsi="Calibri" w:cs="Arial"/>
                <w:sz w:val="18"/>
                <w:szCs w:val="18"/>
              </w:rPr>
            </w:pPr>
            <w:bookmarkStart w:id="18" w:name="RANGE!C130"/>
            <w:r w:rsidRPr="00A20A17">
              <w:rPr>
                <w:rFonts w:ascii="Calibri" w:eastAsia="Calibri" w:hAnsi="Calibri" w:cs="Arial"/>
                <w:sz w:val="18"/>
                <w:szCs w:val="18"/>
              </w:rPr>
              <w:t>£2.05</w:t>
            </w:r>
            <w:bookmarkEnd w:id="18"/>
          </w:p>
        </w:tc>
      </w:tr>
      <w:tr w:rsidR="00FE37DB" w:rsidRPr="00A20A17" w14:paraId="52E98FF6" w14:textId="77777777" w:rsidTr="00A80B48">
        <w:trPr>
          <w:trHeight w:val="300"/>
        </w:trPr>
        <w:tc>
          <w:tcPr>
            <w:tcW w:w="6222" w:type="dxa"/>
            <w:noWrap/>
            <w:hideMark/>
          </w:tcPr>
          <w:p w14:paraId="14904153" w14:textId="77777777" w:rsidR="00FE37DB" w:rsidRPr="00A20A17" w:rsidRDefault="00FE37DB" w:rsidP="00A80B48">
            <w:pPr>
              <w:spacing w:after="120"/>
              <w:rPr>
                <w:rFonts w:ascii="Calibri" w:eastAsia="Calibri" w:hAnsi="Calibri" w:cs="Arial"/>
                <w:sz w:val="18"/>
                <w:szCs w:val="18"/>
              </w:rPr>
            </w:pPr>
            <w:r w:rsidRPr="00A20A17">
              <w:rPr>
                <w:rFonts w:ascii="Calibri" w:eastAsia="Calibri" w:hAnsi="Calibri" w:cs="Arial"/>
                <w:sz w:val="18"/>
                <w:szCs w:val="18"/>
              </w:rPr>
              <w:t>Years 13+ from treatment initiation</w:t>
            </w:r>
          </w:p>
        </w:tc>
        <w:tc>
          <w:tcPr>
            <w:tcW w:w="1174" w:type="dxa"/>
            <w:noWrap/>
            <w:hideMark/>
          </w:tcPr>
          <w:p w14:paraId="7D26C1E6" w14:textId="77777777" w:rsidR="00FE37DB" w:rsidRPr="00A20A17" w:rsidRDefault="00FE37DB" w:rsidP="00A80B48">
            <w:pPr>
              <w:spacing w:after="120"/>
              <w:jc w:val="right"/>
              <w:rPr>
                <w:rFonts w:ascii="Calibri" w:eastAsia="Calibri" w:hAnsi="Calibri" w:cs="Arial"/>
                <w:sz w:val="18"/>
                <w:szCs w:val="18"/>
              </w:rPr>
            </w:pPr>
            <w:bookmarkStart w:id="19" w:name="RANGE!C131"/>
            <w:r w:rsidRPr="00A20A17">
              <w:rPr>
                <w:rFonts w:ascii="Calibri" w:eastAsia="Calibri" w:hAnsi="Calibri" w:cs="Arial"/>
                <w:sz w:val="18"/>
                <w:szCs w:val="18"/>
              </w:rPr>
              <w:t>£5.24</w:t>
            </w:r>
            <w:bookmarkEnd w:id="19"/>
          </w:p>
        </w:tc>
      </w:tr>
      <w:tr w:rsidR="00FE37DB" w:rsidRPr="00A20A17" w14:paraId="400D104E" w14:textId="77777777" w:rsidTr="00A80B48">
        <w:trPr>
          <w:trHeight w:val="300"/>
        </w:trPr>
        <w:tc>
          <w:tcPr>
            <w:tcW w:w="6222" w:type="dxa"/>
            <w:shd w:val="clear" w:color="auto" w:fill="E7E6E6"/>
            <w:noWrap/>
            <w:hideMark/>
          </w:tcPr>
          <w:p w14:paraId="6544B080" w14:textId="77777777" w:rsidR="00FE37DB" w:rsidRPr="00A20A17" w:rsidRDefault="00FE37DB" w:rsidP="00A80B48">
            <w:pPr>
              <w:spacing w:after="120"/>
              <w:rPr>
                <w:rFonts w:ascii="Calibri" w:eastAsia="Calibri" w:hAnsi="Calibri" w:cs="Arial"/>
                <w:sz w:val="18"/>
                <w:szCs w:val="18"/>
              </w:rPr>
            </w:pPr>
            <w:r w:rsidRPr="00A20A17">
              <w:rPr>
                <w:rFonts w:ascii="Calibri" w:eastAsia="Calibri" w:hAnsi="Calibri" w:cs="Arial"/>
                <w:sz w:val="18"/>
                <w:szCs w:val="18"/>
              </w:rPr>
              <w:t>Costs in secondary prevention, per individual started on lipid lowering treatment</w:t>
            </w:r>
          </w:p>
        </w:tc>
        <w:tc>
          <w:tcPr>
            <w:tcW w:w="1174" w:type="dxa"/>
            <w:shd w:val="clear" w:color="auto" w:fill="E7E6E6"/>
            <w:noWrap/>
            <w:hideMark/>
          </w:tcPr>
          <w:p w14:paraId="1733FA11" w14:textId="77777777" w:rsidR="00FE37DB" w:rsidRPr="00A20A17" w:rsidRDefault="00FE37DB" w:rsidP="00A80B48">
            <w:pPr>
              <w:spacing w:after="120"/>
              <w:jc w:val="right"/>
              <w:rPr>
                <w:rFonts w:ascii="Calibri" w:eastAsia="Calibri" w:hAnsi="Calibri" w:cs="Arial"/>
                <w:sz w:val="18"/>
                <w:szCs w:val="18"/>
              </w:rPr>
            </w:pPr>
          </w:p>
        </w:tc>
      </w:tr>
      <w:tr w:rsidR="00FE37DB" w:rsidRPr="00A20A17" w14:paraId="71806836" w14:textId="77777777" w:rsidTr="00A80B48">
        <w:trPr>
          <w:trHeight w:val="300"/>
        </w:trPr>
        <w:tc>
          <w:tcPr>
            <w:tcW w:w="6222" w:type="dxa"/>
            <w:noWrap/>
            <w:hideMark/>
          </w:tcPr>
          <w:p w14:paraId="503747AB" w14:textId="77777777" w:rsidR="00FE37DB" w:rsidRPr="00A20A17" w:rsidRDefault="00FE37DB" w:rsidP="00A80B48">
            <w:pPr>
              <w:spacing w:after="120"/>
              <w:rPr>
                <w:rFonts w:ascii="Calibri" w:eastAsia="Calibri" w:hAnsi="Calibri" w:cs="Arial"/>
                <w:sz w:val="18"/>
                <w:szCs w:val="18"/>
              </w:rPr>
            </w:pPr>
            <w:r w:rsidRPr="00A20A17">
              <w:rPr>
                <w:rFonts w:ascii="Calibri" w:eastAsia="Calibri" w:hAnsi="Calibri" w:cs="Arial"/>
                <w:sz w:val="18"/>
                <w:szCs w:val="18"/>
              </w:rPr>
              <w:t>Years 3 to 6 from treatment initiation</w:t>
            </w:r>
          </w:p>
        </w:tc>
        <w:tc>
          <w:tcPr>
            <w:tcW w:w="1174" w:type="dxa"/>
            <w:noWrap/>
            <w:hideMark/>
          </w:tcPr>
          <w:p w14:paraId="73C541F6" w14:textId="77777777" w:rsidR="00FE37DB" w:rsidRPr="00A20A17" w:rsidRDefault="00FE37DB" w:rsidP="00A80B48">
            <w:pPr>
              <w:spacing w:after="120"/>
              <w:jc w:val="right"/>
              <w:rPr>
                <w:rFonts w:ascii="Calibri" w:eastAsia="Calibri" w:hAnsi="Calibri" w:cs="Arial"/>
                <w:sz w:val="18"/>
                <w:szCs w:val="18"/>
              </w:rPr>
            </w:pPr>
            <w:bookmarkStart w:id="20" w:name="RANGE!C133"/>
            <w:r w:rsidRPr="00A20A17">
              <w:rPr>
                <w:rFonts w:ascii="Calibri" w:eastAsia="Calibri" w:hAnsi="Calibri" w:cs="Arial"/>
                <w:sz w:val="18"/>
                <w:szCs w:val="18"/>
              </w:rPr>
              <w:t>£9.19</w:t>
            </w:r>
            <w:bookmarkEnd w:id="20"/>
          </w:p>
        </w:tc>
      </w:tr>
      <w:tr w:rsidR="00FE37DB" w:rsidRPr="00A20A17" w14:paraId="004EA26E" w14:textId="77777777" w:rsidTr="00A80B48">
        <w:trPr>
          <w:trHeight w:val="300"/>
        </w:trPr>
        <w:tc>
          <w:tcPr>
            <w:tcW w:w="6222" w:type="dxa"/>
            <w:noWrap/>
            <w:hideMark/>
          </w:tcPr>
          <w:p w14:paraId="662AC48B" w14:textId="77777777" w:rsidR="00FE37DB" w:rsidRPr="00A20A17" w:rsidRDefault="00FE37DB" w:rsidP="00A80B48">
            <w:pPr>
              <w:spacing w:after="120"/>
              <w:rPr>
                <w:rFonts w:ascii="Calibri" w:eastAsia="Calibri" w:hAnsi="Calibri" w:cs="Arial"/>
                <w:sz w:val="18"/>
                <w:szCs w:val="18"/>
              </w:rPr>
            </w:pPr>
            <w:r w:rsidRPr="00A20A17">
              <w:rPr>
                <w:rFonts w:ascii="Calibri" w:eastAsia="Calibri" w:hAnsi="Calibri" w:cs="Arial"/>
                <w:sz w:val="18"/>
                <w:szCs w:val="18"/>
              </w:rPr>
              <w:t>Years 7 to 11 from treatment initiation</w:t>
            </w:r>
          </w:p>
        </w:tc>
        <w:tc>
          <w:tcPr>
            <w:tcW w:w="1174" w:type="dxa"/>
            <w:noWrap/>
            <w:hideMark/>
          </w:tcPr>
          <w:p w14:paraId="11C2FC1D" w14:textId="77777777" w:rsidR="00FE37DB" w:rsidRPr="00A20A17" w:rsidRDefault="00FE37DB" w:rsidP="00A80B48">
            <w:pPr>
              <w:spacing w:after="120"/>
              <w:jc w:val="right"/>
              <w:rPr>
                <w:rFonts w:ascii="Calibri" w:eastAsia="Calibri" w:hAnsi="Calibri" w:cs="Arial"/>
                <w:sz w:val="18"/>
                <w:szCs w:val="18"/>
              </w:rPr>
            </w:pPr>
            <w:bookmarkStart w:id="21" w:name="RANGE!C134"/>
            <w:r w:rsidRPr="00A20A17">
              <w:rPr>
                <w:rFonts w:ascii="Calibri" w:eastAsia="Calibri" w:hAnsi="Calibri" w:cs="Arial"/>
                <w:sz w:val="18"/>
                <w:szCs w:val="18"/>
              </w:rPr>
              <w:t>£4.11</w:t>
            </w:r>
            <w:bookmarkEnd w:id="21"/>
          </w:p>
        </w:tc>
      </w:tr>
      <w:tr w:rsidR="00FE37DB" w:rsidRPr="00A20A17" w14:paraId="7761263A" w14:textId="77777777" w:rsidTr="00A80B48">
        <w:trPr>
          <w:trHeight w:val="300"/>
        </w:trPr>
        <w:tc>
          <w:tcPr>
            <w:tcW w:w="6222" w:type="dxa"/>
            <w:noWrap/>
            <w:hideMark/>
          </w:tcPr>
          <w:p w14:paraId="63BA0AC9" w14:textId="77777777" w:rsidR="00FE37DB" w:rsidRPr="00A20A17" w:rsidRDefault="00FE37DB" w:rsidP="00A80B48">
            <w:pPr>
              <w:spacing w:after="120"/>
              <w:rPr>
                <w:rFonts w:ascii="Calibri" w:eastAsia="Calibri" w:hAnsi="Calibri" w:cs="Arial"/>
                <w:sz w:val="18"/>
                <w:szCs w:val="18"/>
              </w:rPr>
            </w:pPr>
            <w:r w:rsidRPr="00A20A17">
              <w:rPr>
                <w:rFonts w:ascii="Calibri" w:eastAsia="Calibri" w:hAnsi="Calibri" w:cs="Arial"/>
                <w:sz w:val="18"/>
                <w:szCs w:val="18"/>
              </w:rPr>
              <w:t>Years 13+ from treatment initiation</w:t>
            </w:r>
          </w:p>
        </w:tc>
        <w:tc>
          <w:tcPr>
            <w:tcW w:w="1174" w:type="dxa"/>
            <w:noWrap/>
            <w:hideMark/>
          </w:tcPr>
          <w:p w14:paraId="733C9D08" w14:textId="77777777" w:rsidR="00FE37DB" w:rsidRPr="00A20A17" w:rsidRDefault="00FE37DB" w:rsidP="00A80B48">
            <w:pPr>
              <w:spacing w:after="120"/>
              <w:jc w:val="right"/>
              <w:rPr>
                <w:rFonts w:ascii="Calibri" w:eastAsia="Calibri" w:hAnsi="Calibri" w:cs="Arial"/>
                <w:sz w:val="18"/>
                <w:szCs w:val="18"/>
              </w:rPr>
            </w:pPr>
            <w:bookmarkStart w:id="22" w:name="RANGE!C135"/>
            <w:r w:rsidRPr="00A20A17">
              <w:rPr>
                <w:rFonts w:ascii="Calibri" w:eastAsia="Calibri" w:hAnsi="Calibri" w:cs="Arial"/>
                <w:sz w:val="18"/>
                <w:szCs w:val="18"/>
              </w:rPr>
              <w:t>£10.49</w:t>
            </w:r>
            <w:bookmarkEnd w:id="22"/>
          </w:p>
        </w:tc>
      </w:tr>
      <w:tr w:rsidR="00FE37DB" w:rsidRPr="00A20A17" w14:paraId="285B16B4" w14:textId="77777777" w:rsidTr="00A80B48">
        <w:trPr>
          <w:trHeight w:val="300"/>
        </w:trPr>
        <w:tc>
          <w:tcPr>
            <w:tcW w:w="6222" w:type="dxa"/>
            <w:shd w:val="clear" w:color="auto" w:fill="E7E6E6"/>
            <w:noWrap/>
            <w:hideMark/>
          </w:tcPr>
          <w:p w14:paraId="650475AE" w14:textId="77777777" w:rsidR="00FE37DB" w:rsidRPr="00A20A17" w:rsidRDefault="00FE37DB" w:rsidP="00A80B48">
            <w:pPr>
              <w:spacing w:after="120"/>
              <w:rPr>
                <w:rFonts w:ascii="Calibri" w:eastAsia="Calibri" w:hAnsi="Calibri" w:cs="Arial"/>
                <w:sz w:val="18"/>
                <w:szCs w:val="18"/>
              </w:rPr>
            </w:pPr>
            <w:r w:rsidRPr="00A20A17">
              <w:rPr>
                <w:rFonts w:ascii="Calibri" w:eastAsia="Calibri" w:hAnsi="Calibri" w:cs="Arial"/>
                <w:sz w:val="18"/>
                <w:szCs w:val="18"/>
              </w:rPr>
              <w:t>QALY losses, per individual started on lipid lowering treatment</w:t>
            </w:r>
          </w:p>
        </w:tc>
        <w:tc>
          <w:tcPr>
            <w:tcW w:w="1174" w:type="dxa"/>
            <w:shd w:val="clear" w:color="auto" w:fill="E7E6E6"/>
            <w:noWrap/>
            <w:hideMark/>
          </w:tcPr>
          <w:p w14:paraId="772382BA" w14:textId="77777777" w:rsidR="00FE37DB" w:rsidRPr="00A20A17" w:rsidRDefault="00FE37DB" w:rsidP="00A80B48">
            <w:pPr>
              <w:spacing w:after="120"/>
              <w:jc w:val="right"/>
              <w:rPr>
                <w:rFonts w:ascii="Calibri" w:eastAsia="Calibri" w:hAnsi="Calibri" w:cs="Arial"/>
                <w:sz w:val="18"/>
                <w:szCs w:val="18"/>
              </w:rPr>
            </w:pPr>
          </w:p>
        </w:tc>
      </w:tr>
      <w:tr w:rsidR="00FE37DB" w:rsidRPr="00A20A17" w14:paraId="279D67F0" w14:textId="77777777" w:rsidTr="00A80B48">
        <w:trPr>
          <w:trHeight w:val="300"/>
        </w:trPr>
        <w:tc>
          <w:tcPr>
            <w:tcW w:w="6222" w:type="dxa"/>
            <w:noWrap/>
            <w:hideMark/>
          </w:tcPr>
          <w:p w14:paraId="4982B80E" w14:textId="77777777" w:rsidR="00FE37DB" w:rsidRPr="00A20A17" w:rsidRDefault="00FE37DB" w:rsidP="00A80B48">
            <w:pPr>
              <w:spacing w:after="120"/>
              <w:rPr>
                <w:rFonts w:ascii="Calibri" w:eastAsia="Calibri" w:hAnsi="Calibri" w:cs="Arial"/>
                <w:sz w:val="18"/>
                <w:szCs w:val="18"/>
              </w:rPr>
            </w:pPr>
            <w:r w:rsidRPr="00A20A17">
              <w:rPr>
                <w:rFonts w:ascii="Calibri" w:eastAsia="Calibri" w:hAnsi="Calibri" w:cs="Arial"/>
                <w:sz w:val="18"/>
                <w:szCs w:val="18"/>
              </w:rPr>
              <w:t>Primary prevention, all years</w:t>
            </w:r>
          </w:p>
        </w:tc>
        <w:tc>
          <w:tcPr>
            <w:tcW w:w="1174" w:type="dxa"/>
            <w:noWrap/>
            <w:hideMark/>
          </w:tcPr>
          <w:p w14:paraId="36DBC18F" w14:textId="77777777" w:rsidR="00FE37DB" w:rsidRPr="00A20A17" w:rsidRDefault="00FE37DB" w:rsidP="00A80B48">
            <w:pPr>
              <w:spacing w:after="120"/>
              <w:jc w:val="right"/>
              <w:rPr>
                <w:rFonts w:ascii="Calibri" w:eastAsia="Calibri" w:hAnsi="Calibri" w:cs="Arial"/>
                <w:sz w:val="18"/>
                <w:szCs w:val="18"/>
              </w:rPr>
            </w:pPr>
            <w:bookmarkStart w:id="23" w:name="RANGE!C137"/>
            <w:r w:rsidRPr="00A20A17">
              <w:rPr>
                <w:rFonts w:ascii="Calibri" w:eastAsia="Calibri" w:hAnsi="Calibri" w:cs="Arial"/>
                <w:sz w:val="18"/>
                <w:szCs w:val="18"/>
              </w:rPr>
              <w:t>-0.0001</w:t>
            </w:r>
            <w:bookmarkEnd w:id="23"/>
          </w:p>
        </w:tc>
      </w:tr>
      <w:tr w:rsidR="00FE37DB" w:rsidRPr="00A20A17" w14:paraId="28012C10" w14:textId="77777777" w:rsidTr="00A80B48">
        <w:trPr>
          <w:trHeight w:val="300"/>
        </w:trPr>
        <w:tc>
          <w:tcPr>
            <w:tcW w:w="6222" w:type="dxa"/>
            <w:noWrap/>
            <w:hideMark/>
          </w:tcPr>
          <w:p w14:paraId="5CA9259F" w14:textId="77777777" w:rsidR="00FE37DB" w:rsidRPr="00A20A17" w:rsidRDefault="00FE37DB" w:rsidP="00A80B48">
            <w:pPr>
              <w:spacing w:after="120"/>
              <w:rPr>
                <w:rFonts w:ascii="Calibri" w:eastAsia="Calibri" w:hAnsi="Calibri" w:cs="Arial"/>
                <w:sz w:val="18"/>
                <w:szCs w:val="18"/>
              </w:rPr>
            </w:pPr>
            <w:r w:rsidRPr="00A20A17">
              <w:rPr>
                <w:rFonts w:ascii="Calibri" w:eastAsia="Calibri" w:hAnsi="Calibri" w:cs="Arial"/>
                <w:sz w:val="18"/>
                <w:szCs w:val="18"/>
              </w:rPr>
              <w:t>Secondary prevention, all years</w:t>
            </w:r>
          </w:p>
        </w:tc>
        <w:tc>
          <w:tcPr>
            <w:tcW w:w="1174" w:type="dxa"/>
            <w:noWrap/>
            <w:hideMark/>
          </w:tcPr>
          <w:p w14:paraId="601530E2" w14:textId="77777777" w:rsidR="00FE37DB" w:rsidRPr="00A20A17" w:rsidRDefault="00FE37DB" w:rsidP="00A80B48">
            <w:pPr>
              <w:spacing w:after="120"/>
              <w:jc w:val="right"/>
              <w:rPr>
                <w:rFonts w:ascii="Calibri" w:eastAsia="Calibri" w:hAnsi="Calibri" w:cs="Arial"/>
                <w:sz w:val="18"/>
                <w:szCs w:val="18"/>
              </w:rPr>
            </w:pPr>
            <w:bookmarkStart w:id="24" w:name="RANGE!C138"/>
            <w:r w:rsidRPr="00A20A17">
              <w:rPr>
                <w:rFonts w:ascii="Calibri" w:eastAsia="Calibri" w:hAnsi="Calibri" w:cs="Arial"/>
                <w:sz w:val="18"/>
                <w:szCs w:val="18"/>
              </w:rPr>
              <w:t>-0.0002</w:t>
            </w:r>
            <w:bookmarkEnd w:id="24"/>
          </w:p>
        </w:tc>
      </w:tr>
      <w:tr w:rsidR="00FE37DB" w:rsidRPr="00A20A17" w14:paraId="4C299615" w14:textId="77777777" w:rsidTr="00A80B48">
        <w:trPr>
          <w:trHeight w:val="300"/>
        </w:trPr>
        <w:tc>
          <w:tcPr>
            <w:tcW w:w="7396" w:type="dxa"/>
            <w:gridSpan w:val="2"/>
            <w:noWrap/>
          </w:tcPr>
          <w:p w14:paraId="5004331C"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 xml:space="preserve">Source: NICE CG181 </w:t>
            </w:r>
            <w:r w:rsidRPr="00A20A17">
              <w:rPr>
                <w:rFonts w:ascii="Calibri" w:eastAsia="Calibri" w:hAnsi="Calibri" w:cs="Arial"/>
                <w:sz w:val="18"/>
                <w:szCs w:val="18"/>
              </w:rPr>
              <w:fldChar w:fldCharType="begin"/>
            </w:r>
            <w:r w:rsidRPr="00A20A17">
              <w:rPr>
                <w:rFonts w:ascii="Calibri" w:eastAsia="Calibri" w:hAnsi="Calibri" w:cs="Arial"/>
                <w:sz w:val="18"/>
                <w:szCs w:val="18"/>
              </w:rPr>
              <w:instrText xml:space="preserve"> ADDIN EN.CITE &lt;EndNote&gt;&lt;Cite&gt;&lt;Author&gt;NICE&lt;/Author&gt;&lt;Year&gt;2014&lt;/Year&gt;&lt;IDText&gt;Clinical guideline 181. Lipid modification: cardiovascular risk assessment and the modification of blood lipids for the primary and secondary prevention of cardiovascular disease&lt;/IDText&gt;&lt;DisplayText&gt;&lt;style face="superscript"&gt;12&lt;/style&gt;&lt;/DisplayText&gt;&lt;record&gt;&lt;titles&gt;&lt;title&gt;Clinical guideline 181. Lipid modification: cardiovascular risk assessment and the modification of blood lipids for the primary and secondary prevention of cardiovascular disease&lt;/title&gt;&lt;short-title&gt;Clinical guideline 181. Lipid modification: cardiovascular risk assessment and the modification of blood lipids for the primary and secondary prevention of cardiovascular disease&lt;/short-title&gt;&lt;/titles&gt;&lt;contributors&gt;&lt;authors&gt;&lt;author&gt;NICE&lt;/author&gt;&lt;/authors&gt;&lt;/contributors&gt;&lt;added-date format="utc"&gt;1603453281&lt;/added-date&gt;&lt;ref-type name="Report"&gt;27&lt;/ref-type&gt;&lt;dates&gt;&lt;year&gt;2014&lt;/year&gt;&lt;/dates&gt;&lt;rec-number&gt;62&lt;/rec-number&gt;&lt;last-updated-date format="utc"&gt;1603453281&lt;/last-updated-date&gt;&lt;/record&gt;&lt;/Cite&gt;&lt;/EndNote&gt;</w:instrText>
            </w:r>
            <w:r w:rsidRPr="00A20A17">
              <w:rPr>
                <w:rFonts w:ascii="Calibri" w:eastAsia="Calibri" w:hAnsi="Calibri" w:cs="Arial"/>
                <w:sz w:val="18"/>
                <w:szCs w:val="18"/>
              </w:rPr>
              <w:fldChar w:fldCharType="separate"/>
            </w:r>
            <w:r w:rsidRPr="00A20A17">
              <w:rPr>
                <w:rFonts w:ascii="Calibri" w:eastAsia="Calibri" w:hAnsi="Calibri" w:cs="Arial"/>
                <w:noProof/>
                <w:sz w:val="18"/>
                <w:szCs w:val="18"/>
                <w:vertAlign w:val="superscript"/>
              </w:rPr>
              <w:t>12</w:t>
            </w:r>
            <w:r w:rsidRPr="00A20A17">
              <w:rPr>
                <w:rFonts w:ascii="Calibri" w:eastAsia="Calibri" w:hAnsi="Calibri" w:cs="Arial"/>
                <w:sz w:val="18"/>
                <w:szCs w:val="18"/>
              </w:rPr>
              <w:fldChar w:fldCharType="end"/>
            </w:r>
            <w:r w:rsidRPr="00A20A17">
              <w:rPr>
                <w:rFonts w:ascii="Calibri" w:eastAsia="Calibri" w:hAnsi="Calibri" w:cs="Arial"/>
                <w:sz w:val="18"/>
                <w:szCs w:val="18"/>
              </w:rPr>
              <w:t xml:space="preserve">, updated to 2019 </w:t>
            </w:r>
            <w:r w:rsidRPr="00A20A17">
              <w:rPr>
                <w:rFonts w:ascii="Calibri" w:eastAsia="Calibri" w:hAnsi="Calibri" w:cs="Arial"/>
                <w:sz w:val="18"/>
                <w:szCs w:val="18"/>
              </w:rPr>
              <w:fldChar w:fldCharType="begin"/>
            </w:r>
            <w:r w:rsidRPr="00A20A17">
              <w:rPr>
                <w:rFonts w:ascii="Calibri" w:eastAsia="Calibri" w:hAnsi="Calibri" w:cs="Arial"/>
                <w:sz w:val="18"/>
                <w:szCs w:val="18"/>
              </w:rPr>
              <w:instrText xml:space="preserve"> ADDIN EN.CITE &lt;EndNote&gt;&lt;Cite&gt;&lt;Author&gt;NHS England and NHS Improvement&lt;/Author&gt;&lt;Year&gt;2020&lt;/Year&gt;&lt;IDText&gt;National schedule of NHS costs 2019&lt;/IDText&gt;&lt;DisplayText&gt;&lt;style face="superscript"&gt;20,21&lt;/style&gt;&lt;/DisplayText&gt;&lt;record&gt;&lt;urls&gt;&lt;related-urls&gt;&lt;url&gt;https://www.england.nhs.uk/wp-content/uploads/2020/08/2_-_National_schedule_of_NHS_costs_V2.xlsx&lt;/url&gt;&lt;/related-urls&gt;&lt;/urls&gt;&lt;titles&gt;&lt;title&gt;National schedule of NHS costs 2019&lt;/title&gt;&lt;/titles&gt;&lt;access-date&gt;24/05/2021&lt;/access-date&gt;&lt;contributors&gt;&lt;authors&gt;&lt;author&gt;NHS England and NHS Improvement,&lt;/author&gt;&lt;/authors&gt;&lt;/contributors&gt;&lt;added-date format="utc"&gt;1621867475&lt;/added-date&gt;&lt;ref-type name="Dataset"&gt;59&lt;/ref-type&gt;&lt;dates&gt;&lt;year&gt;2020&lt;/year&gt;&lt;/dates&gt;&lt;rec-number&gt;194&lt;/rec-number&gt;&lt;last-updated-date format="utc"&gt;1621867475&lt;/last-updated-date&gt;&lt;/record&gt;&lt;/Cite&gt;&lt;Cite&gt;&lt;Author&gt;Curtis&lt;/Author&gt;&lt;Year&gt;2019&lt;/Year&gt;&lt;IDText&gt;Unit Costs of Health and Social Care 2019&lt;/IDText&gt;&lt;record&gt;&lt;titles&gt;&lt;title&gt;Unit Costs of Health and Social Care 2019&lt;/title&gt;&lt;/titles&gt;&lt;contributors&gt;&lt;authors&gt;&lt;author&gt;Curtis, L.&lt;/author&gt;&lt;author&gt;Burns, A.&lt;/author&gt;&lt;/authors&gt;&lt;/contributors&gt;&lt;added-date format="utc"&gt;1621867475&lt;/added-date&gt;&lt;pub-location&gt;Canterbury&lt;/pub-location&gt;&lt;ref-type name="Book"&gt;6&lt;/ref-type&gt;&lt;dates&gt;&lt;year&gt;2019&lt;/year&gt;&lt;/dates&gt;&lt;rec-number&gt;192&lt;/rec-number&gt;&lt;publisher&gt;Personal Social Services Research Unit, University of Kent&lt;/publisher&gt;&lt;last-updated-date format="utc"&gt;1621867475&lt;/last-updated-date&gt;&lt;electronic-resource-num&gt;10.22024/UniKent/01.02.79286&lt;/electronic-resource-num&gt;&lt;/record&gt;&lt;/Cite&gt;&lt;/EndNote&gt;</w:instrText>
            </w:r>
            <w:r w:rsidRPr="00A20A17">
              <w:rPr>
                <w:rFonts w:ascii="Calibri" w:eastAsia="Calibri" w:hAnsi="Calibri" w:cs="Arial"/>
                <w:sz w:val="18"/>
                <w:szCs w:val="18"/>
              </w:rPr>
              <w:fldChar w:fldCharType="separate"/>
            </w:r>
            <w:r w:rsidRPr="00A20A17">
              <w:rPr>
                <w:rFonts w:ascii="Calibri" w:eastAsia="Calibri" w:hAnsi="Calibri" w:cs="Arial"/>
                <w:noProof/>
                <w:sz w:val="18"/>
                <w:szCs w:val="18"/>
                <w:vertAlign w:val="superscript"/>
              </w:rPr>
              <w:t>20,21</w:t>
            </w:r>
            <w:r w:rsidRPr="00A20A17">
              <w:rPr>
                <w:rFonts w:ascii="Calibri" w:eastAsia="Calibri" w:hAnsi="Calibri" w:cs="Arial"/>
                <w:sz w:val="18"/>
                <w:szCs w:val="18"/>
              </w:rPr>
              <w:fldChar w:fldCharType="end"/>
            </w:r>
            <w:r w:rsidRPr="00A20A17">
              <w:rPr>
                <w:rFonts w:ascii="Calibri" w:eastAsia="Calibri" w:hAnsi="Calibri" w:cs="Arial"/>
                <w:sz w:val="18"/>
                <w:szCs w:val="18"/>
              </w:rPr>
              <w:t>.</w:t>
            </w:r>
          </w:p>
        </w:tc>
      </w:tr>
      <w:bookmarkEnd w:id="16"/>
    </w:tbl>
    <w:p w14:paraId="726F8675" w14:textId="77777777" w:rsidR="00FE37DB" w:rsidRPr="00A20A17" w:rsidRDefault="00FE37DB" w:rsidP="00FE37DB">
      <w:pPr>
        <w:spacing w:before="120" w:after="120"/>
        <w:rPr>
          <w:rFonts w:ascii="Calibri" w:eastAsia="Calibri" w:hAnsi="Calibri" w:cs="Arial"/>
        </w:rPr>
      </w:pPr>
    </w:p>
    <w:p w14:paraId="3B8626BF" w14:textId="77777777" w:rsidR="00FE37DB" w:rsidRPr="00A20A17" w:rsidRDefault="00FE37DB" w:rsidP="00FE37DB">
      <w:pPr>
        <w:keepNext/>
        <w:spacing w:before="120"/>
        <w:rPr>
          <w:rFonts w:ascii="Calibri" w:eastAsia="Calibri" w:hAnsi="Calibri" w:cs="Arial"/>
          <w:i/>
          <w:iCs/>
          <w:color w:val="44546A"/>
          <w:sz w:val="18"/>
          <w:szCs w:val="18"/>
        </w:rPr>
      </w:pPr>
      <w:r w:rsidRPr="00A20A17">
        <w:rPr>
          <w:rFonts w:ascii="Calibri" w:eastAsia="Calibri" w:hAnsi="Calibri" w:cs="Arial"/>
          <w:i/>
          <w:iCs/>
          <w:color w:val="44546A"/>
          <w:sz w:val="18"/>
          <w:szCs w:val="18"/>
        </w:rPr>
        <w:t xml:space="preserve">Table </w:t>
      </w:r>
      <w:r w:rsidRPr="00A20A17">
        <w:rPr>
          <w:rFonts w:ascii="Calibri" w:eastAsia="Calibri" w:hAnsi="Calibri" w:cs="Arial"/>
          <w:i/>
          <w:iCs/>
          <w:color w:val="44546A"/>
          <w:sz w:val="18"/>
          <w:szCs w:val="18"/>
        </w:rPr>
        <w:fldChar w:fldCharType="begin"/>
      </w:r>
      <w:r w:rsidRPr="00A20A17">
        <w:rPr>
          <w:rFonts w:ascii="Calibri" w:eastAsia="Calibri" w:hAnsi="Calibri" w:cs="Arial"/>
          <w:i/>
          <w:iCs/>
          <w:color w:val="44546A"/>
          <w:sz w:val="18"/>
          <w:szCs w:val="18"/>
        </w:rPr>
        <w:instrText>SEQ Table \* ARABIC</w:instrText>
      </w:r>
      <w:r w:rsidRPr="00A20A17">
        <w:rPr>
          <w:rFonts w:ascii="Calibri" w:eastAsia="Calibri" w:hAnsi="Calibri" w:cs="Arial"/>
          <w:i/>
          <w:iCs/>
          <w:color w:val="44546A"/>
          <w:sz w:val="18"/>
          <w:szCs w:val="18"/>
        </w:rPr>
        <w:fldChar w:fldCharType="separate"/>
      </w:r>
      <w:r w:rsidRPr="00A20A17">
        <w:rPr>
          <w:rFonts w:ascii="Calibri" w:eastAsia="Calibri" w:hAnsi="Calibri" w:cs="Arial"/>
          <w:i/>
          <w:iCs/>
          <w:noProof/>
          <w:color w:val="44546A"/>
          <w:sz w:val="18"/>
          <w:szCs w:val="18"/>
        </w:rPr>
        <w:t>19</w:t>
      </w:r>
      <w:r w:rsidRPr="00A20A17">
        <w:rPr>
          <w:rFonts w:ascii="Calibri" w:eastAsia="Calibri" w:hAnsi="Calibri" w:cs="Arial"/>
          <w:i/>
          <w:iCs/>
          <w:color w:val="44546A"/>
          <w:sz w:val="18"/>
          <w:szCs w:val="18"/>
        </w:rPr>
        <w:fldChar w:fldCharType="end"/>
      </w:r>
      <w:r w:rsidRPr="00A20A17">
        <w:rPr>
          <w:rFonts w:ascii="Calibri" w:eastAsia="Calibri" w:hAnsi="Calibri" w:cs="Arial"/>
          <w:i/>
          <w:iCs/>
          <w:color w:val="44546A"/>
          <w:sz w:val="18"/>
          <w:szCs w:val="18"/>
        </w:rPr>
        <w:t xml:space="preserve">: Model inputs for scenario 19: The risk of the first CV event is adjusted upwards with the standardised mortality ratio </w:t>
      </w:r>
    </w:p>
    <w:tbl>
      <w:tblPr>
        <w:tblStyle w:val="TableGrid11"/>
        <w:tblW w:w="0" w:type="auto"/>
        <w:tblLook w:val="04A0" w:firstRow="1" w:lastRow="0" w:firstColumn="1" w:lastColumn="0" w:noHBand="0" w:noVBand="1"/>
      </w:tblPr>
      <w:tblGrid>
        <w:gridCol w:w="6222"/>
        <w:gridCol w:w="1076"/>
      </w:tblGrid>
      <w:tr w:rsidR="00FE37DB" w:rsidRPr="00A20A17" w14:paraId="0BC6CDBB" w14:textId="77777777" w:rsidTr="00A80B48">
        <w:trPr>
          <w:trHeight w:val="300"/>
        </w:trPr>
        <w:tc>
          <w:tcPr>
            <w:tcW w:w="6222" w:type="dxa"/>
            <w:noWrap/>
            <w:hideMark/>
          </w:tcPr>
          <w:p w14:paraId="24894B20" w14:textId="77777777" w:rsidR="00FE37DB" w:rsidRPr="00A20A17" w:rsidRDefault="00FE37DB" w:rsidP="00A80B48">
            <w:pPr>
              <w:spacing w:after="0"/>
              <w:rPr>
                <w:rFonts w:ascii="Calibri" w:eastAsia="Calibri" w:hAnsi="Calibri" w:cs="Arial"/>
                <w:b/>
                <w:bCs/>
                <w:sz w:val="18"/>
                <w:szCs w:val="18"/>
              </w:rPr>
            </w:pPr>
            <w:r w:rsidRPr="00A20A17">
              <w:rPr>
                <w:rFonts w:ascii="Calibri" w:eastAsia="Calibri" w:hAnsi="Calibri" w:cs="Arial"/>
                <w:b/>
                <w:bCs/>
                <w:sz w:val="18"/>
                <w:szCs w:val="18"/>
              </w:rPr>
              <w:t xml:space="preserve">Individual group </w:t>
            </w:r>
          </w:p>
        </w:tc>
        <w:tc>
          <w:tcPr>
            <w:tcW w:w="1076" w:type="dxa"/>
            <w:noWrap/>
            <w:hideMark/>
          </w:tcPr>
          <w:p w14:paraId="4213C704" w14:textId="77777777" w:rsidR="00FE37DB" w:rsidRPr="00A20A17" w:rsidRDefault="00FE37DB" w:rsidP="00A80B48">
            <w:pPr>
              <w:spacing w:after="0"/>
              <w:rPr>
                <w:rFonts w:ascii="Calibri" w:eastAsia="Calibri" w:hAnsi="Calibri" w:cs="Arial"/>
                <w:b/>
                <w:bCs/>
                <w:sz w:val="18"/>
                <w:szCs w:val="18"/>
              </w:rPr>
            </w:pPr>
            <w:r w:rsidRPr="00A20A17">
              <w:rPr>
                <w:rFonts w:ascii="Calibri" w:eastAsia="Calibri" w:hAnsi="Calibri" w:cs="Arial"/>
                <w:b/>
                <w:bCs/>
                <w:sz w:val="18"/>
                <w:szCs w:val="18"/>
              </w:rPr>
              <w:t>Input </w:t>
            </w:r>
          </w:p>
        </w:tc>
      </w:tr>
      <w:tr w:rsidR="00FE37DB" w:rsidRPr="00A20A17" w14:paraId="7CFB8A3C" w14:textId="77777777" w:rsidTr="00A80B48">
        <w:trPr>
          <w:trHeight w:val="207"/>
        </w:trPr>
        <w:tc>
          <w:tcPr>
            <w:tcW w:w="7298" w:type="dxa"/>
            <w:gridSpan w:val="2"/>
            <w:shd w:val="clear" w:color="auto" w:fill="E7E6E6"/>
            <w:noWrap/>
            <w:hideMark/>
          </w:tcPr>
          <w:p w14:paraId="64CF3A46" w14:textId="77777777" w:rsidR="00FE37DB" w:rsidRPr="00A20A17" w:rsidRDefault="00FE37DB" w:rsidP="00A80B48">
            <w:pPr>
              <w:spacing w:after="0"/>
              <w:rPr>
                <w:rFonts w:ascii="Calibri" w:eastAsia="Calibri" w:hAnsi="Calibri" w:cs="Arial"/>
                <w:sz w:val="18"/>
                <w:szCs w:val="18"/>
              </w:rPr>
            </w:pPr>
            <w:r w:rsidRPr="00A20A17">
              <w:rPr>
                <w:rFonts w:ascii="Calibri" w:eastAsia="Calibri" w:hAnsi="Calibri" w:cs="Arial"/>
                <w:sz w:val="18"/>
                <w:szCs w:val="18"/>
              </w:rPr>
              <w:t>Males </w:t>
            </w:r>
          </w:p>
        </w:tc>
      </w:tr>
      <w:tr w:rsidR="00FE37DB" w:rsidRPr="00A20A17" w14:paraId="5C62CAE8" w14:textId="77777777" w:rsidTr="00A80B48">
        <w:trPr>
          <w:trHeight w:val="300"/>
        </w:trPr>
        <w:tc>
          <w:tcPr>
            <w:tcW w:w="6222" w:type="dxa"/>
            <w:noWrap/>
            <w:hideMark/>
          </w:tcPr>
          <w:p w14:paraId="58F314D5" w14:textId="77777777" w:rsidR="00FE37DB" w:rsidRPr="00A20A17" w:rsidRDefault="00FE37DB" w:rsidP="00A80B48">
            <w:pPr>
              <w:spacing w:after="0"/>
              <w:rPr>
                <w:rFonts w:ascii="Calibri" w:eastAsia="Calibri" w:hAnsi="Calibri" w:cs="Arial"/>
                <w:sz w:val="18"/>
                <w:szCs w:val="18"/>
              </w:rPr>
            </w:pPr>
            <w:r w:rsidRPr="00A20A17">
              <w:rPr>
                <w:rFonts w:ascii="Calibri" w:eastAsia="Calibri" w:hAnsi="Calibri" w:cs="Arial"/>
                <w:sz w:val="18"/>
                <w:szCs w:val="18"/>
              </w:rPr>
              <w:t>Aged 40-59 years</w:t>
            </w:r>
          </w:p>
        </w:tc>
        <w:tc>
          <w:tcPr>
            <w:tcW w:w="1076" w:type="dxa"/>
            <w:noWrap/>
            <w:hideMark/>
          </w:tcPr>
          <w:p w14:paraId="00732518" w14:textId="77777777" w:rsidR="00FE37DB" w:rsidRPr="00A20A17" w:rsidRDefault="00FE37DB" w:rsidP="00A80B48">
            <w:pPr>
              <w:spacing w:after="0"/>
              <w:jc w:val="right"/>
              <w:rPr>
                <w:rFonts w:ascii="Calibri" w:eastAsia="Calibri" w:hAnsi="Calibri" w:cs="Arial"/>
                <w:sz w:val="18"/>
                <w:szCs w:val="18"/>
              </w:rPr>
            </w:pPr>
            <w:r w:rsidRPr="00A20A17">
              <w:rPr>
                <w:rFonts w:ascii="Calibri" w:eastAsia="Calibri" w:hAnsi="Calibri" w:cs="Arial"/>
                <w:sz w:val="18"/>
                <w:szCs w:val="18"/>
              </w:rPr>
              <w:t>5.47</w:t>
            </w:r>
          </w:p>
        </w:tc>
      </w:tr>
      <w:tr w:rsidR="00FE37DB" w:rsidRPr="00A20A17" w14:paraId="6D651EE5" w14:textId="77777777" w:rsidTr="00A80B48">
        <w:trPr>
          <w:trHeight w:val="300"/>
        </w:trPr>
        <w:tc>
          <w:tcPr>
            <w:tcW w:w="6222" w:type="dxa"/>
            <w:noWrap/>
            <w:hideMark/>
          </w:tcPr>
          <w:p w14:paraId="550F012B" w14:textId="77777777" w:rsidR="00FE37DB" w:rsidRPr="00A20A17" w:rsidRDefault="00FE37DB" w:rsidP="00A80B48">
            <w:pPr>
              <w:spacing w:after="0"/>
              <w:rPr>
                <w:rFonts w:ascii="Calibri" w:eastAsia="Calibri" w:hAnsi="Calibri" w:cs="Arial"/>
                <w:sz w:val="18"/>
                <w:szCs w:val="18"/>
              </w:rPr>
            </w:pPr>
            <w:r w:rsidRPr="00A20A17">
              <w:rPr>
                <w:rFonts w:ascii="Calibri" w:eastAsia="Calibri" w:hAnsi="Calibri" w:cs="Arial"/>
                <w:sz w:val="18"/>
                <w:szCs w:val="18"/>
              </w:rPr>
              <w:t>Aged 60+ years</w:t>
            </w:r>
          </w:p>
        </w:tc>
        <w:tc>
          <w:tcPr>
            <w:tcW w:w="1076" w:type="dxa"/>
            <w:noWrap/>
            <w:hideMark/>
          </w:tcPr>
          <w:p w14:paraId="3BACC096" w14:textId="77777777" w:rsidR="00FE37DB" w:rsidRPr="00A20A17" w:rsidRDefault="00FE37DB" w:rsidP="00A80B48">
            <w:pPr>
              <w:spacing w:after="0"/>
              <w:jc w:val="right"/>
              <w:rPr>
                <w:rFonts w:ascii="Calibri" w:eastAsia="Calibri" w:hAnsi="Calibri" w:cs="Arial"/>
                <w:sz w:val="18"/>
                <w:szCs w:val="18"/>
              </w:rPr>
            </w:pPr>
            <w:r w:rsidRPr="00A20A17">
              <w:rPr>
                <w:rFonts w:ascii="Calibri" w:eastAsia="Calibri" w:hAnsi="Calibri" w:cs="Arial"/>
                <w:sz w:val="18"/>
                <w:szCs w:val="18"/>
              </w:rPr>
              <w:t>5.20</w:t>
            </w:r>
          </w:p>
        </w:tc>
      </w:tr>
      <w:tr w:rsidR="00FE37DB" w:rsidRPr="00A20A17" w14:paraId="6B679745" w14:textId="77777777" w:rsidTr="00A80B48">
        <w:trPr>
          <w:trHeight w:val="300"/>
        </w:trPr>
        <w:tc>
          <w:tcPr>
            <w:tcW w:w="7298" w:type="dxa"/>
            <w:gridSpan w:val="2"/>
            <w:shd w:val="clear" w:color="auto" w:fill="E7E6E6"/>
            <w:noWrap/>
            <w:hideMark/>
          </w:tcPr>
          <w:p w14:paraId="5B5F2051" w14:textId="77777777" w:rsidR="00FE37DB" w:rsidRPr="00A20A17" w:rsidRDefault="00FE37DB" w:rsidP="00A80B48">
            <w:pPr>
              <w:spacing w:after="0"/>
              <w:rPr>
                <w:rFonts w:ascii="Calibri" w:eastAsia="Calibri" w:hAnsi="Calibri" w:cs="Arial"/>
                <w:sz w:val="18"/>
                <w:szCs w:val="18"/>
              </w:rPr>
            </w:pPr>
            <w:r w:rsidRPr="00A20A17">
              <w:rPr>
                <w:rFonts w:ascii="Calibri" w:eastAsia="Calibri" w:hAnsi="Calibri" w:cs="Arial"/>
                <w:sz w:val="18"/>
                <w:szCs w:val="18"/>
              </w:rPr>
              <w:t>Females  </w:t>
            </w:r>
          </w:p>
        </w:tc>
      </w:tr>
      <w:tr w:rsidR="00FE37DB" w:rsidRPr="00A20A17" w14:paraId="29491D74" w14:textId="77777777" w:rsidTr="00A80B48">
        <w:trPr>
          <w:trHeight w:val="300"/>
        </w:trPr>
        <w:tc>
          <w:tcPr>
            <w:tcW w:w="6222" w:type="dxa"/>
            <w:noWrap/>
            <w:hideMark/>
          </w:tcPr>
          <w:p w14:paraId="002315BA" w14:textId="77777777" w:rsidR="00FE37DB" w:rsidRPr="00A20A17" w:rsidRDefault="00FE37DB" w:rsidP="00A80B48">
            <w:pPr>
              <w:spacing w:after="0"/>
              <w:rPr>
                <w:rFonts w:ascii="Calibri" w:eastAsia="Calibri" w:hAnsi="Calibri" w:cs="Arial"/>
                <w:sz w:val="18"/>
                <w:szCs w:val="18"/>
              </w:rPr>
            </w:pPr>
            <w:r w:rsidRPr="00A20A17">
              <w:rPr>
                <w:rFonts w:ascii="Calibri" w:eastAsia="Calibri" w:hAnsi="Calibri" w:cs="Arial"/>
                <w:sz w:val="18"/>
                <w:szCs w:val="18"/>
              </w:rPr>
              <w:t>Aged 40-59 years</w:t>
            </w:r>
          </w:p>
        </w:tc>
        <w:tc>
          <w:tcPr>
            <w:tcW w:w="1076" w:type="dxa"/>
            <w:noWrap/>
          </w:tcPr>
          <w:p w14:paraId="5D052429" w14:textId="77777777" w:rsidR="00FE37DB" w:rsidRPr="00A20A17" w:rsidRDefault="00FE37DB" w:rsidP="00A80B48">
            <w:pPr>
              <w:spacing w:after="0"/>
              <w:jc w:val="right"/>
              <w:rPr>
                <w:rFonts w:ascii="Calibri" w:eastAsia="Calibri" w:hAnsi="Calibri" w:cs="Arial"/>
                <w:sz w:val="18"/>
                <w:szCs w:val="18"/>
              </w:rPr>
            </w:pPr>
            <w:r w:rsidRPr="00A20A17">
              <w:rPr>
                <w:rFonts w:ascii="Calibri" w:eastAsia="Calibri" w:hAnsi="Calibri" w:cs="Arial"/>
                <w:sz w:val="18"/>
                <w:szCs w:val="18"/>
              </w:rPr>
              <w:t>8.58</w:t>
            </w:r>
          </w:p>
        </w:tc>
      </w:tr>
      <w:tr w:rsidR="00FE37DB" w:rsidRPr="00A20A17" w14:paraId="08A1B147" w14:textId="77777777" w:rsidTr="00A80B48">
        <w:trPr>
          <w:trHeight w:val="300"/>
        </w:trPr>
        <w:tc>
          <w:tcPr>
            <w:tcW w:w="6222" w:type="dxa"/>
            <w:noWrap/>
            <w:hideMark/>
          </w:tcPr>
          <w:p w14:paraId="74FBA3DC" w14:textId="77777777" w:rsidR="00FE37DB" w:rsidRPr="00A20A17" w:rsidRDefault="00FE37DB" w:rsidP="00A80B48">
            <w:pPr>
              <w:spacing w:after="0"/>
              <w:rPr>
                <w:rFonts w:ascii="Calibri" w:eastAsia="Calibri" w:hAnsi="Calibri" w:cs="Arial"/>
                <w:sz w:val="18"/>
                <w:szCs w:val="18"/>
              </w:rPr>
            </w:pPr>
            <w:r w:rsidRPr="00A20A17">
              <w:rPr>
                <w:rFonts w:ascii="Calibri" w:eastAsia="Calibri" w:hAnsi="Calibri" w:cs="Arial"/>
                <w:sz w:val="18"/>
                <w:szCs w:val="18"/>
              </w:rPr>
              <w:t>Aged 60+ years</w:t>
            </w:r>
          </w:p>
        </w:tc>
        <w:tc>
          <w:tcPr>
            <w:tcW w:w="1076" w:type="dxa"/>
            <w:noWrap/>
          </w:tcPr>
          <w:p w14:paraId="74CA1C04" w14:textId="77777777" w:rsidR="00FE37DB" w:rsidRPr="00A20A17" w:rsidRDefault="00FE37DB" w:rsidP="00A80B48">
            <w:pPr>
              <w:spacing w:after="0"/>
              <w:jc w:val="right"/>
              <w:rPr>
                <w:rFonts w:ascii="Calibri" w:eastAsia="Calibri" w:hAnsi="Calibri" w:cs="Arial"/>
                <w:sz w:val="18"/>
                <w:szCs w:val="18"/>
              </w:rPr>
            </w:pPr>
            <w:r w:rsidRPr="00A20A17">
              <w:rPr>
                <w:rFonts w:ascii="Calibri" w:eastAsia="Calibri" w:hAnsi="Calibri" w:cs="Arial"/>
                <w:sz w:val="18"/>
                <w:szCs w:val="18"/>
              </w:rPr>
              <w:t>8.46</w:t>
            </w:r>
          </w:p>
        </w:tc>
      </w:tr>
      <w:tr w:rsidR="00FE37DB" w:rsidRPr="00A20A17" w14:paraId="21502364" w14:textId="77777777" w:rsidTr="00A80B48">
        <w:trPr>
          <w:trHeight w:val="300"/>
        </w:trPr>
        <w:tc>
          <w:tcPr>
            <w:tcW w:w="7298" w:type="dxa"/>
            <w:gridSpan w:val="2"/>
            <w:noWrap/>
          </w:tcPr>
          <w:p w14:paraId="3E1AB2F5" w14:textId="77777777" w:rsidR="00FE37DB" w:rsidRPr="00A20A17" w:rsidRDefault="00FE37DB" w:rsidP="00A80B48">
            <w:pPr>
              <w:spacing w:after="0"/>
              <w:rPr>
                <w:rFonts w:ascii="Calibri" w:eastAsia="Calibri" w:hAnsi="Calibri" w:cs="Arial"/>
                <w:sz w:val="18"/>
                <w:szCs w:val="18"/>
              </w:rPr>
            </w:pPr>
            <w:r w:rsidRPr="00A20A17">
              <w:rPr>
                <w:rFonts w:ascii="Calibri" w:eastAsia="Calibri" w:hAnsi="Calibri" w:cs="Arial"/>
                <w:sz w:val="18"/>
                <w:szCs w:val="18"/>
              </w:rPr>
              <w:t xml:space="preserve">Source: Humphries et al </w:t>
            </w:r>
            <w:r w:rsidRPr="00A20A17">
              <w:rPr>
                <w:rFonts w:ascii="Calibri" w:eastAsia="Calibri" w:hAnsi="Calibri" w:cs="Arial"/>
                <w:sz w:val="18"/>
                <w:szCs w:val="18"/>
              </w:rPr>
              <w:fldChar w:fldCharType="begin">
                <w:fldData xml:space="preserve">PEVuZE5vdGU+PENpdGU+PEF1dGhvcj5IdW1waHJpZXM8L0F1dGhvcj48WWVhcj4yMDE4PC9ZZWFy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</w:fldData>
              </w:fldChar>
            </w:r>
            <w:r w:rsidRPr="00A20A17">
              <w:rPr>
                <w:rFonts w:ascii="Calibri" w:eastAsia="Calibri" w:hAnsi="Calibri" w:cs="Arial"/>
                <w:sz w:val="18"/>
                <w:szCs w:val="18"/>
              </w:rPr>
              <w:instrText xml:space="preserve"> ADDIN EN.CITE </w:instrText>
            </w:r>
            <w:r w:rsidRPr="00A20A17">
              <w:rPr>
                <w:rFonts w:ascii="Calibri" w:eastAsia="Calibri" w:hAnsi="Calibri" w:cs="Arial"/>
                <w:sz w:val="18"/>
                <w:szCs w:val="18"/>
              </w:rPr>
              <w:fldChar w:fldCharType="begin">
                <w:fldData xml:space="preserve">PEVuZE5vdGU+PENpdGU+PEF1dGhvcj5IdW1waHJpZXM8L0F1dGhvcj48WWVhcj4yMDE4PC9ZZWFy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</w:fldData>
              </w:fldChar>
            </w:r>
            <w:r w:rsidRPr="00A20A17">
              <w:rPr>
                <w:rFonts w:ascii="Calibri" w:eastAsia="Calibri" w:hAnsi="Calibri" w:cs="Arial"/>
                <w:sz w:val="18"/>
                <w:szCs w:val="18"/>
              </w:rPr>
              <w:instrText xml:space="preserve"> ADDIN EN.CITE.DATA </w:instrText>
            </w:r>
            <w:r w:rsidRPr="00A20A17">
              <w:rPr>
                <w:rFonts w:ascii="Calibri" w:eastAsia="Calibri" w:hAnsi="Calibri" w:cs="Arial"/>
                <w:sz w:val="18"/>
                <w:szCs w:val="18"/>
              </w:rPr>
            </w:r>
            <w:r w:rsidRPr="00A20A17">
              <w:rPr>
                <w:rFonts w:ascii="Calibri" w:eastAsia="Calibri" w:hAnsi="Calibri" w:cs="Arial"/>
                <w:sz w:val="18"/>
                <w:szCs w:val="18"/>
              </w:rPr>
              <w:fldChar w:fldCharType="end"/>
            </w:r>
            <w:r w:rsidRPr="00A20A17">
              <w:rPr>
                <w:rFonts w:ascii="Calibri" w:eastAsia="Calibri" w:hAnsi="Calibri" w:cs="Arial"/>
                <w:sz w:val="18"/>
                <w:szCs w:val="18"/>
              </w:rPr>
            </w:r>
            <w:r w:rsidRPr="00A20A17">
              <w:rPr>
                <w:rFonts w:ascii="Calibri" w:eastAsia="Calibri" w:hAnsi="Calibri" w:cs="Arial"/>
                <w:sz w:val="18"/>
                <w:szCs w:val="18"/>
              </w:rPr>
              <w:fldChar w:fldCharType="separate"/>
            </w:r>
            <w:r w:rsidRPr="00A20A17">
              <w:rPr>
                <w:rFonts w:ascii="Calibri" w:eastAsia="Calibri" w:hAnsi="Calibri" w:cs="Arial"/>
                <w:noProof/>
                <w:sz w:val="18"/>
                <w:szCs w:val="18"/>
                <w:vertAlign w:val="superscript"/>
              </w:rPr>
              <w:t>26</w:t>
            </w:r>
            <w:r w:rsidRPr="00A20A17">
              <w:rPr>
                <w:rFonts w:ascii="Calibri" w:eastAsia="Calibri" w:hAnsi="Calibri" w:cs="Arial"/>
                <w:sz w:val="18"/>
                <w:szCs w:val="18"/>
              </w:rPr>
              <w:fldChar w:fldCharType="end"/>
            </w:r>
            <w:r w:rsidRPr="00A20A17">
              <w:rPr>
                <w:rFonts w:ascii="Calibri" w:eastAsia="Calibri" w:hAnsi="Calibri" w:cs="Arial"/>
                <w:sz w:val="18"/>
                <w:szCs w:val="18"/>
              </w:rPr>
              <w:t>.</w:t>
            </w:r>
          </w:p>
        </w:tc>
      </w:tr>
    </w:tbl>
    <w:p w14:paraId="1A6A8A9F" w14:textId="77777777" w:rsidR="00FE37DB" w:rsidRPr="00A20A17" w:rsidRDefault="00FE37DB" w:rsidP="00FE37DB">
      <w:pPr>
        <w:spacing w:before="120" w:after="120"/>
        <w:rPr>
          <w:rFonts w:ascii="Calibri" w:eastAsia="Calibri" w:hAnsi="Calibri" w:cs="Arial"/>
        </w:rPr>
      </w:pPr>
    </w:p>
    <w:p w14:paraId="0454C0B2" w14:textId="77777777" w:rsidR="00FE37DB" w:rsidRPr="00A20A17" w:rsidRDefault="00FE37DB" w:rsidP="00FE37DB">
      <w:pPr>
        <w:keepNext/>
        <w:spacing w:before="120"/>
        <w:rPr>
          <w:rFonts w:ascii="Calibri" w:eastAsia="Calibri" w:hAnsi="Calibri" w:cs="Arial"/>
          <w:i/>
          <w:iCs/>
          <w:color w:val="44546A"/>
          <w:sz w:val="18"/>
          <w:szCs w:val="18"/>
        </w:rPr>
      </w:pPr>
      <w:r w:rsidRPr="00A20A17">
        <w:rPr>
          <w:rFonts w:ascii="Calibri" w:eastAsia="Calibri" w:hAnsi="Calibri" w:cs="Arial"/>
          <w:i/>
          <w:iCs/>
          <w:color w:val="44546A"/>
          <w:sz w:val="18"/>
          <w:szCs w:val="18"/>
        </w:rPr>
        <w:t xml:space="preserve">Table </w:t>
      </w:r>
      <w:r w:rsidRPr="00A20A17">
        <w:rPr>
          <w:rFonts w:ascii="Calibri" w:eastAsia="Calibri" w:hAnsi="Calibri" w:cs="Arial"/>
          <w:i/>
          <w:iCs/>
          <w:color w:val="44546A"/>
          <w:sz w:val="18"/>
          <w:szCs w:val="18"/>
        </w:rPr>
        <w:fldChar w:fldCharType="begin"/>
      </w:r>
      <w:r w:rsidRPr="00A20A17">
        <w:rPr>
          <w:rFonts w:ascii="Calibri" w:eastAsia="Calibri" w:hAnsi="Calibri" w:cs="Arial"/>
          <w:i/>
          <w:iCs/>
          <w:color w:val="44546A"/>
          <w:sz w:val="18"/>
          <w:szCs w:val="18"/>
        </w:rPr>
        <w:instrText>SEQ Table \* ARABIC</w:instrText>
      </w:r>
      <w:r w:rsidRPr="00A20A17">
        <w:rPr>
          <w:rFonts w:ascii="Calibri" w:eastAsia="Calibri" w:hAnsi="Calibri" w:cs="Arial"/>
          <w:i/>
          <w:iCs/>
          <w:color w:val="44546A"/>
          <w:sz w:val="18"/>
          <w:szCs w:val="18"/>
        </w:rPr>
        <w:fldChar w:fldCharType="separate"/>
      </w:r>
      <w:r w:rsidRPr="00A20A17">
        <w:rPr>
          <w:rFonts w:ascii="Calibri" w:eastAsia="Calibri" w:hAnsi="Calibri" w:cs="Arial"/>
          <w:i/>
          <w:iCs/>
          <w:noProof/>
          <w:color w:val="44546A"/>
          <w:sz w:val="18"/>
          <w:szCs w:val="18"/>
        </w:rPr>
        <w:t>18</w:t>
      </w:r>
      <w:r w:rsidRPr="00A20A17">
        <w:rPr>
          <w:rFonts w:ascii="Calibri" w:eastAsia="Calibri" w:hAnsi="Calibri" w:cs="Arial"/>
          <w:i/>
          <w:iCs/>
          <w:color w:val="44546A"/>
          <w:sz w:val="18"/>
          <w:szCs w:val="18"/>
        </w:rPr>
        <w:fldChar w:fldCharType="end"/>
      </w:r>
      <w:r w:rsidRPr="00A20A17">
        <w:rPr>
          <w:rFonts w:ascii="Calibri" w:eastAsia="Calibri" w:hAnsi="Calibri" w:cs="Arial"/>
          <w:i/>
          <w:iCs/>
          <w:color w:val="44546A"/>
          <w:sz w:val="18"/>
          <w:szCs w:val="18"/>
        </w:rPr>
        <w:t>: Model inputs for scenario 20: The probability of death due to the first CV event depends on age</w:t>
      </w:r>
    </w:p>
    <w:tbl>
      <w:tblPr>
        <w:tblStyle w:val="TableGrid11"/>
        <w:tblW w:w="0" w:type="auto"/>
        <w:tblLook w:val="04A0" w:firstRow="1" w:lastRow="0" w:firstColumn="1" w:lastColumn="0" w:noHBand="0" w:noVBand="1"/>
      </w:tblPr>
      <w:tblGrid>
        <w:gridCol w:w="5949"/>
        <w:gridCol w:w="2410"/>
      </w:tblGrid>
      <w:tr w:rsidR="00FE37DB" w:rsidRPr="00A20A17" w14:paraId="71A14141" w14:textId="77777777" w:rsidTr="00A80B48">
        <w:trPr>
          <w:trHeight w:val="300"/>
        </w:trPr>
        <w:tc>
          <w:tcPr>
            <w:tcW w:w="5949" w:type="dxa"/>
            <w:noWrap/>
            <w:hideMark/>
          </w:tcPr>
          <w:p w14:paraId="4271125A" w14:textId="77777777" w:rsidR="00FE37DB" w:rsidRPr="00A20A17" w:rsidRDefault="00FE37DB" w:rsidP="00A80B48">
            <w:pPr>
              <w:spacing w:after="0"/>
              <w:rPr>
                <w:rFonts w:ascii="Calibri" w:eastAsia="Calibri" w:hAnsi="Calibri" w:cs="Arial"/>
                <w:b/>
                <w:bCs/>
                <w:sz w:val="18"/>
                <w:szCs w:val="18"/>
              </w:rPr>
            </w:pPr>
            <w:r w:rsidRPr="00A20A17">
              <w:rPr>
                <w:rFonts w:ascii="Calibri" w:eastAsia="Calibri" w:hAnsi="Calibri" w:cs="Arial"/>
                <w:b/>
                <w:bCs/>
                <w:sz w:val="18"/>
                <w:szCs w:val="18"/>
              </w:rPr>
              <w:t>Age at 1</w:t>
            </w:r>
            <w:r w:rsidRPr="00A20A17">
              <w:rPr>
                <w:rFonts w:ascii="Calibri" w:eastAsia="Calibri" w:hAnsi="Calibri" w:cs="Arial"/>
                <w:b/>
                <w:bCs/>
                <w:sz w:val="18"/>
                <w:szCs w:val="18"/>
                <w:vertAlign w:val="superscript"/>
              </w:rPr>
              <w:t>st</w:t>
            </w:r>
            <w:r w:rsidRPr="00A20A17">
              <w:rPr>
                <w:rFonts w:ascii="Calibri" w:eastAsia="Calibri" w:hAnsi="Calibri" w:cs="Arial"/>
                <w:b/>
                <w:bCs/>
                <w:sz w:val="18"/>
                <w:szCs w:val="18"/>
              </w:rPr>
              <w:t xml:space="preserve"> cardiovascular event</w:t>
            </w:r>
          </w:p>
        </w:tc>
        <w:tc>
          <w:tcPr>
            <w:tcW w:w="2410" w:type="dxa"/>
            <w:noWrap/>
            <w:hideMark/>
          </w:tcPr>
          <w:p w14:paraId="06D9EE8D" w14:textId="77777777" w:rsidR="00FE37DB" w:rsidRPr="00A20A17" w:rsidRDefault="00FE37DB" w:rsidP="00A80B48">
            <w:pPr>
              <w:spacing w:after="0"/>
              <w:rPr>
                <w:rFonts w:ascii="Calibri" w:eastAsia="Calibri" w:hAnsi="Calibri" w:cs="Arial"/>
                <w:b/>
                <w:bCs/>
                <w:sz w:val="18"/>
                <w:szCs w:val="18"/>
              </w:rPr>
            </w:pPr>
            <w:r w:rsidRPr="00A20A17">
              <w:rPr>
                <w:rFonts w:ascii="Calibri" w:eastAsia="Calibri" w:hAnsi="Calibri" w:cs="Arial"/>
                <w:b/>
                <w:bCs/>
                <w:sz w:val="18"/>
                <w:szCs w:val="18"/>
              </w:rPr>
              <w:t>Change from base-case in %</w:t>
            </w:r>
          </w:p>
        </w:tc>
      </w:tr>
      <w:tr w:rsidR="00FE37DB" w:rsidRPr="00A20A17" w14:paraId="15833C32" w14:textId="77777777" w:rsidTr="00A80B48">
        <w:trPr>
          <w:trHeight w:val="207"/>
        </w:trPr>
        <w:tc>
          <w:tcPr>
            <w:tcW w:w="8359" w:type="dxa"/>
            <w:gridSpan w:val="2"/>
            <w:shd w:val="clear" w:color="auto" w:fill="E7E6E6"/>
            <w:noWrap/>
            <w:hideMark/>
          </w:tcPr>
          <w:p w14:paraId="525156FE" w14:textId="77777777" w:rsidR="00FE37DB" w:rsidRPr="00A20A17" w:rsidRDefault="00FE37DB" w:rsidP="00A80B48">
            <w:pPr>
              <w:spacing w:after="0"/>
              <w:rPr>
                <w:rFonts w:ascii="Calibri" w:eastAsia="Calibri" w:hAnsi="Calibri" w:cs="Arial"/>
                <w:sz w:val="18"/>
                <w:szCs w:val="18"/>
              </w:rPr>
            </w:pPr>
            <w:r w:rsidRPr="00A20A17">
              <w:rPr>
                <w:rFonts w:ascii="Calibri" w:eastAsia="Calibri" w:hAnsi="Calibri" w:cs="Arial"/>
                <w:sz w:val="18"/>
                <w:szCs w:val="18"/>
              </w:rPr>
              <w:t>Males </w:t>
            </w:r>
          </w:p>
        </w:tc>
      </w:tr>
      <w:tr w:rsidR="00FE37DB" w:rsidRPr="00A20A17" w14:paraId="18DEA283" w14:textId="77777777" w:rsidTr="00A80B48">
        <w:trPr>
          <w:trHeight w:val="300"/>
        </w:trPr>
        <w:tc>
          <w:tcPr>
            <w:tcW w:w="5949" w:type="dxa"/>
            <w:noWrap/>
          </w:tcPr>
          <w:p w14:paraId="66A90F8C" w14:textId="77777777" w:rsidR="00FE37DB" w:rsidRPr="00A20A17" w:rsidRDefault="00FE37DB" w:rsidP="00A80B48">
            <w:pPr>
              <w:spacing w:after="0"/>
              <w:rPr>
                <w:rFonts w:ascii="Calibri" w:eastAsia="Calibri" w:hAnsi="Calibri" w:cs="Arial"/>
                <w:sz w:val="18"/>
                <w:szCs w:val="18"/>
              </w:rPr>
            </w:pPr>
            <w:r w:rsidRPr="00A20A17">
              <w:rPr>
                <w:rFonts w:ascii="Calibri" w:eastAsia="Calibri" w:hAnsi="Calibri" w:cs="Arial"/>
                <w:sz w:val="18"/>
                <w:szCs w:val="18"/>
              </w:rPr>
              <w:t>Age &lt; 45 years</w:t>
            </w:r>
          </w:p>
        </w:tc>
        <w:tc>
          <w:tcPr>
            <w:tcW w:w="2410" w:type="dxa"/>
            <w:noWrap/>
            <w:vAlign w:val="bottom"/>
          </w:tcPr>
          <w:p w14:paraId="7EC64F56" w14:textId="77777777" w:rsidR="00FE37DB" w:rsidRPr="00A20A17" w:rsidRDefault="00FE37DB" w:rsidP="00A80B48">
            <w:pPr>
              <w:spacing w:after="0"/>
              <w:jc w:val="right"/>
              <w:rPr>
                <w:rFonts w:ascii="Calibri" w:eastAsia="Calibri" w:hAnsi="Calibri" w:cs="Arial"/>
                <w:sz w:val="18"/>
                <w:szCs w:val="18"/>
              </w:rPr>
            </w:pPr>
            <w:r w:rsidRPr="00A20A17">
              <w:rPr>
                <w:rFonts w:ascii="Calibri" w:eastAsia="Calibri" w:hAnsi="Calibri" w:cs="Arial"/>
                <w:sz w:val="18"/>
                <w:szCs w:val="18"/>
              </w:rPr>
              <w:t>-0.62</w:t>
            </w:r>
          </w:p>
        </w:tc>
      </w:tr>
      <w:tr w:rsidR="00FE37DB" w:rsidRPr="00A20A17" w14:paraId="2303AC79" w14:textId="77777777" w:rsidTr="00A80B48">
        <w:trPr>
          <w:trHeight w:val="300"/>
        </w:trPr>
        <w:tc>
          <w:tcPr>
            <w:tcW w:w="5949" w:type="dxa"/>
            <w:noWrap/>
          </w:tcPr>
          <w:p w14:paraId="300D3044" w14:textId="77777777" w:rsidR="00FE37DB" w:rsidRPr="00A20A17" w:rsidRDefault="00FE37DB" w:rsidP="00A80B48">
            <w:pPr>
              <w:spacing w:after="0"/>
              <w:rPr>
                <w:rFonts w:ascii="Calibri" w:eastAsia="Calibri" w:hAnsi="Calibri" w:cs="Arial"/>
                <w:sz w:val="18"/>
                <w:szCs w:val="18"/>
              </w:rPr>
            </w:pPr>
            <w:r w:rsidRPr="00A20A17">
              <w:rPr>
                <w:rFonts w:ascii="Calibri" w:eastAsia="Calibri" w:hAnsi="Calibri" w:cs="Arial"/>
                <w:sz w:val="18"/>
                <w:szCs w:val="18"/>
              </w:rPr>
              <w:t>Age 45-54 years</w:t>
            </w:r>
          </w:p>
        </w:tc>
        <w:tc>
          <w:tcPr>
            <w:tcW w:w="2410" w:type="dxa"/>
            <w:noWrap/>
            <w:vAlign w:val="bottom"/>
          </w:tcPr>
          <w:p w14:paraId="05016EC8" w14:textId="77777777" w:rsidR="00FE37DB" w:rsidRPr="00A20A17" w:rsidRDefault="00FE37DB" w:rsidP="00A80B48">
            <w:pPr>
              <w:spacing w:after="0"/>
              <w:jc w:val="right"/>
              <w:rPr>
                <w:rFonts w:ascii="Calibri" w:eastAsia="Calibri" w:hAnsi="Calibri" w:cs="Arial"/>
                <w:sz w:val="18"/>
                <w:szCs w:val="18"/>
              </w:rPr>
            </w:pPr>
            <w:r w:rsidRPr="00A20A17">
              <w:rPr>
                <w:rFonts w:ascii="Calibri" w:eastAsia="Calibri" w:hAnsi="Calibri" w:cs="Arial"/>
                <w:sz w:val="18"/>
                <w:szCs w:val="18"/>
              </w:rPr>
              <w:t>-0.47</w:t>
            </w:r>
          </w:p>
        </w:tc>
      </w:tr>
      <w:tr w:rsidR="00FE37DB" w:rsidRPr="00A20A17" w14:paraId="5D13323F" w14:textId="77777777" w:rsidTr="00A80B48">
        <w:trPr>
          <w:trHeight w:val="300"/>
        </w:trPr>
        <w:tc>
          <w:tcPr>
            <w:tcW w:w="5949" w:type="dxa"/>
            <w:noWrap/>
          </w:tcPr>
          <w:p w14:paraId="5EFC722D" w14:textId="77777777" w:rsidR="00FE37DB" w:rsidRPr="00A20A17" w:rsidRDefault="00FE37DB" w:rsidP="00A80B48">
            <w:pPr>
              <w:spacing w:after="0"/>
              <w:rPr>
                <w:rFonts w:ascii="Calibri" w:eastAsia="Calibri" w:hAnsi="Calibri" w:cs="Arial"/>
                <w:sz w:val="18"/>
                <w:szCs w:val="18"/>
              </w:rPr>
            </w:pPr>
            <w:r w:rsidRPr="00A20A17">
              <w:rPr>
                <w:rFonts w:ascii="Calibri" w:eastAsia="Calibri" w:hAnsi="Calibri" w:cs="Arial"/>
                <w:sz w:val="18"/>
                <w:szCs w:val="18"/>
              </w:rPr>
              <w:t>Age 55 – 64 years</w:t>
            </w:r>
          </w:p>
        </w:tc>
        <w:tc>
          <w:tcPr>
            <w:tcW w:w="2410" w:type="dxa"/>
            <w:noWrap/>
            <w:vAlign w:val="bottom"/>
          </w:tcPr>
          <w:p w14:paraId="15B5087C" w14:textId="77777777" w:rsidR="00FE37DB" w:rsidRPr="00A20A17" w:rsidRDefault="00FE37DB" w:rsidP="00A80B48">
            <w:pPr>
              <w:spacing w:after="0"/>
              <w:jc w:val="right"/>
              <w:rPr>
                <w:rFonts w:ascii="Calibri" w:eastAsia="Calibri" w:hAnsi="Calibri" w:cs="Arial"/>
                <w:sz w:val="18"/>
                <w:szCs w:val="18"/>
              </w:rPr>
            </w:pPr>
            <w:r w:rsidRPr="00A20A17">
              <w:rPr>
                <w:rFonts w:ascii="Calibri" w:eastAsia="Calibri" w:hAnsi="Calibri" w:cs="Arial"/>
                <w:sz w:val="18"/>
                <w:szCs w:val="18"/>
              </w:rPr>
              <w:t>0.00</w:t>
            </w:r>
          </w:p>
        </w:tc>
      </w:tr>
      <w:tr w:rsidR="00FE37DB" w:rsidRPr="00A20A17" w14:paraId="37C312E2" w14:textId="77777777" w:rsidTr="00A80B48">
        <w:trPr>
          <w:trHeight w:val="300"/>
        </w:trPr>
        <w:tc>
          <w:tcPr>
            <w:tcW w:w="5949" w:type="dxa"/>
            <w:noWrap/>
          </w:tcPr>
          <w:p w14:paraId="447B7361" w14:textId="77777777" w:rsidR="00FE37DB" w:rsidRPr="00A20A17" w:rsidRDefault="00FE37DB" w:rsidP="00A80B48">
            <w:pPr>
              <w:spacing w:after="0"/>
              <w:rPr>
                <w:rFonts w:ascii="Calibri" w:eastAsia="Calibri" w:hAnsi="Calibri" w:cs="Arial"/>
                <w:sz w:val="18"/>
                <w:szCs w:val="18"/>
              </w:rPr>
            </w:pPr>
            <w:r w:rsidRPr="00A20A17">
              <w:rPr>
                <w:rFonts w:ascii="Calibri" w:eastAsia="Calibri" w:hAnsi="Calibri" w:cs="Arial"/>
                <w:sz w:val="18"/>
                <w:szCs w:val="18"/>
              </w:rPr>
              <w:t>Age 65 – 74 years</w:t>
            </w:r>
          </w:p>
        </w:tc>
        <w:tc>
          <w:tcPr>
            <w:tcW w:w="2410" w:type="dxa"/>
            <w:noWrap/>
            <w:vAlign w:val="bottom"/>
          </w:tcPr>
          <w:p w14:paraId="4F061792" w14:textId="77777777" w:rsidR="00FE37DB" w:rsidRPr="00A20A17" w:rsidRDefault="00FE37DB" w:rsidP="00A80B48">
            <w:pPr>
              <w:spacing w:after="0"/>
              <w:jc w:val="right"/>
              <w:rPr>
                <w:rFonts w:ascii="Calibri" w:eastAsia="Calibri" w:hAnsi="Calibri" w:cs="Arial"/>
                <w:sz w:val="18"/>
                <w:szCs w:val="18"/>
              </w:rPr>
            </w:pPr>
            <w:r w:rsidRPr="00A20A17">
              <w:rPr>
                <w:rFonts w:ascii="Calibri" w:eastAsia="Calibri" w:hAnsi="Calibri" w:cs="Arial"/>
                <w:sz w:val="18"/>
                <w:szCs w:val="18"/>
              </w:rPr>
              <w:t>1.00</w:t>
            </w:r>
          </w:p>
        </w:tc>
      </w:tr>
      <w:tr w:rsidR="00FE37DB" w:rsidRPr="00A20A17" w14:paraId="669AE8E2" w14:textId="77777777" w:rsidTr="00A80B48">
        <w:trPr>
          <w:trHeight w:val="300"/>
        </w:trPr>
        <w:tc>
          <w:tcPr>
            <w:tcW w:w="5949" w:type="dxa"/>
            <w:noWrap/>
          </w:tcPr>
          <w:p w14:paraId="51B82F95" w14:textId="77777777" w:rsidR="00FE37DB" w:rsidRPr="00A20A17" w:rsidRDefault="00FE37DB" w:rsidP="00A80B48">
            <w:pPr>
              <w:spacing w:after="0"/>
              <w:rPr>
                <w:rFonts w:ascii="Calibri" w:eastAsia="Calibri" w:hAnsi="Calibri" w:cs="Arial"/>
                <w:sz w:val="18"/>
                <w:szCs w:val="18"/>
              </w:rPr>
            </w:pPr>
            <w:r w:rsidRPr="00A20A17">
              <w:rPr>
                <w:rFonts w:ascii="Calibri" w:eastAsia="Calibri" w:hAnsi="Calibri" w:cs="Arial"/>
                <w:sz w:val="18"/>
                <w:szCs w:val="18"/>
              </w:rPr>
              <w:t>Age 75+ years</w:t>
            </w:r>
          </w:p>
        </w:tc>
        <w:tc>
          <w:tcPr>
            <w:tcW w:w="2410" w:type="dxa"/>
            <w:noWrap/>
            <w:vAlign w:val="bottom"/>
          </w:tcPr>
          <w:p w14:paraId="22064BE9" w14:textId="77777777" w:rsidR="00FE37DB" w:rsidRPr="00A20A17" w:rsidRDefault="00FE37DB" w:rsidP="00A80B48">
            <w:pPr>
              <w:spacing w:after="0"/>
              <w:jc w:val="right"/>
              <w:rPr>
                <w:rFonts w:ascii="Calibri" w:eastAsia="Calibri" w:hAnsi="Calibri" w:cs="Arial"/>
                <w:sz w:val="18"/>
                <w:szCs w:val="18"/>
              </w:rPr>
            </w:pPr>
            <w:r w:rsidRPr="00A20A17">
              <w:rPr>
                <w:rFonts w:ascii="Calibri" w:eastAsia="Calibri" w:hAnsi="Calibri" w:cs="Arial"/>
                <w:sz w:val="18"/>
                <w:szCs w:val="18"/>
              </w:rPr>
              <w:t>2.89</w:t>
            </w:r>
          </w:p>
        </w:tc>
      </w:tr>
      <w:tr w:rsidR="00FE37DB" w:rsidRPr="00A20A17" w14:paraId="70FBFE0C" w14:textId="77777777" w:rsidTr="00A80B48">
        <w:trPr>
          <w:trHeight w:val="300"/>
        </w:trPr>
        <w:tc>
          <w:tcPr>
            <w:tcW w:w="8359" w:type="dxa"/>
            <w:gridSpan w:val="2"/>
            <w:shd w:val="clear" w:color="auto" w:fill="E7E6E6"/>
            <w:noWrap/>
            <w:hideMark/>
          </w:tcPr>
          <w:p w14:paraId="5FE50BA1" w14:textId="77777777" w:rsidR="00FE37DB" w:rsidRPr="00A20A17" w:rsidRDefault="00FE37DB" w:rsidP="00A80B48">
            <w:pPr>
              <w:spacing w:after="0"/>
              <w:rPr>
                <w:rFonts w:ascii="Calibri" w:eastAsia="Calibri" w:hAnsi="Calibri" w:cs="Arial"/>
                <w:sz w:val="18"/>
                <w:szCs w:val="18"/>
              </w:rPr>
            </w:pPr>
            <w:r w:rsidRPr="00A20A17">
              <w:rPr>
                <w:rFonts w:ascii="Calibri" w:eastAsia="Calibri" w:hAnsi="Calibri" w:cs="Arial"/>
                <w:sz w:val="18"/>
                <w:szCs w:val="18"/>
              </w:rPr>
              <w:t>Females  </w:t>
            </w:r>
          </w:p>
        </w:tc>
      </w:tr>
      <w:tr w:rsidR="00FE37DB" w:rsidRPr="00A20A17" w14:paraId="25E956E3" w14:textId="77777777" w:rsidTr="00A80B48">
        <w:trPr>
          <w:trHeight w:val="300"/>
        </w:trPr>
        <w:tc>
          <w:tcPr>
            <w:tcW w:w="5949" w:type="dxa"/>
            <w:noWrap/>
          </w:tcPr>
          <w:p w14:paraId="0E4DF50B" w14:textId="77777777" w:rsidR="00FE37DB" w:rsidRPr="00A20A17" w:rsidRDefault="00FE37DB" w:rsidP="00A80B48">
            <w:pPr>
              <w:spacing w:after="0"/>
              <w:rPr>
                <w:rFonts w:ascii="Calibri" w:eastAsia="Calibri" w:hAnsi="Calibri" w:cs="Arial"/>
                <w:sz w:val="18"/>
                <w:szCs w:val="18"/>
              </w:rPr>
            </w:pPr>
            <w:r w:rsidRPr="00A20A17">
              <w:rPr>
                <w:rFonts w:ascii="Calibri" w:eastAsia="Calibri" w:hAnsi="Calibri" w:cs="Arial"/>
                <w:sz w:val="18"/>
                <w:szCs w:val="18"/>
              </w:rPr>
              <w:t>Age &lt; 45 years</w:t>
            </w:r>
          </w:p>
        </w:tc>
        <w:tc>
          <w:tcPr>
            <w:tcW w:w="2410" w:type="dxa"/>
            <w:noWrap/>
            <w:vAlign w:val="bottom"/>
          </w:tcPr>
          <w:p w14:paraId="5FBE6303" w14:textId="77777777" w:rsidR="00FE37DB" w:rsidRPr="00A20A17" w:rsidRDefault="00FE37DB" w:rsidP="00A80B48">
            <w:pPr>
              <w:spacing w:after="0"/>
              <w:jc w:val="right"/>
              <w:rPr>
                <w:rFonts w:ascii="Calibri" w:eastAsia="Calibri" w:hAnsi="Calibri" w:cs="Arial"/>
                <w:sz w:val="18"/>
                <w:szCs w:val="18"/>
              </w:rPr>
            </w:pPr>
            <w:r w:rsidRPr="00A20A17">
              <w:rPr>
                <w:rFonts w:ascii="Calibri" w:eastAsia="Calibri" w:hAnsi="Calibri" w:cs="Arial"/>
                <w:sz w:val="18"/>
                <w:szCs w:val="18"/>
              </w:rPr>
              <w:t>-0.42</w:t>
            </w:r>
          </w:p>
        </w:tc>
      </w:tr>
      <w:tr w:rsidR="00FE37DB" w:rsidRPr="00A20A17" w14:paraId="3862C28D" w14:textId="77777777" w:rsidTr="00A80B48">
        <w:trPr>
          <w:trHeight w:val="300"/>
        </w:trPr>
        <w:tc>
          <w:tcPr>
            <w:tcW w:w="5949" w:type="dxa"/>
            <w:noWrap/>
          </w:tcPr>
          <w:p w14:paraId="03B7126B" w14:textId="77777777" w:rsidR="00FE37DB" w:rsidRPr="00A20A17" w:rsidRDefault="00FE37DB" w:rsidP="00A80B48">
            <w:pPr>
              <w:spacing w:after="0"/>
              <w:rPr>
                <w:rFonts w:ascii="Calibri" w:eastAsia="Calibri" w:hAnsi="Calibri" w:cs="Arial"/>
                <w:sz w:val="18"/>
                <w:szCs w:val="18"/>
              </w:rPr>
            </w:pPr>
            <w:r w:rsidRPr="00A20A17">
              <w:rPr>
                <w:rFonts w:ascii="Calibri" w:eastAsia="Calibri" w:hAnsi="Calibri" w:cs="Arial"/>
                <w:sz w:val="18"/>
                <w:szCs w:val="18"/>
              </w:rPr>
              <w:t>Age 45-54 years</w:t>
            </w:r>
          </w:p>
        </w:tc>
        <w:tc>
          <w:tcPr>
            <w:tcW w:w="2410" w:type="dxa"/>
            <w:noWrap/>
            <w:vAlign w:val="bottom"/>
          </w:tcPr>
          <w:p w14:paraId="214A3F15" w14:textId="77777777" w:rsidR="00FE37DB" w:rsidRPr="00A20A17" w:rsidRDefault="00FE37DB" w:rsidP="00A80B48">
            <w:pPr>
              <w:spacing w:after="0"/>
              <w:jc w:val="right"/>
              <w:rPr>
                <w:rFonts w:ascii="Calibri" w:eastAsia="Calibri" w:hAnsi="Calibri" w:cs="Arial"/>
                <w:sz w:val="18"/>
                <w:szCs w:val="18"/>
              </w:rPr>
            </w:pPr>
            <w:r w:rsidRPr="00A20A17">
              <w:rPr>
                <w:rFonts w:ascii="Calibri" w:eastAsia="Calibri" w:hAnsi="Calibri" w:cs="Arial"/>
                <w:sz w:val="18"/>
                <w:szCs w:val="18"/>
              </w:rPr>
              <w:t>-0.35</w:t>
            </w:r>
          </w:p>
        </w:tc>
      </w:tr>
      <w:tr w:rsidR="00FE37DB" w:rsidRPr="00A20A17" w14:paraId="7CF3F190" w14:textId="77777777" w:rsidTr="00A80B48">
        <w:trPr>
          <w:trHeight w:val="300"/>
        </w:trPr>
        <w:tc>
          <w:tcPr>
            <w:tcW w:w="5949" w:type="dxa"/>
            <w:noWrap/>
          </w:tcPr>
          <w:p w14:paraId="3FCE5E5C" w14:textId="77777777" w:rsidR="00FE37DB" w:rsidRPr="00A20A17" w:rsidRDefault="00FE37DB" w:rsidP="00A80B48">
            <w:pPr>
              <w:spacing w:after="0"/>
              <w:rPr>
                <w:rFonts w:ascii="Calibri" w:eastAsia="Calibri" w:hAnsi="Calibri" w:cs="Arial"/>
                <w:sz w:val="18"/>
                <w:szCs w:val="18"/>
              </w:rPr>
            </w:pPr>
            <w:r w:rsidRPr="00A20A17">
              <w:rPr>
                <w:rFonts w:ascii="Calibri" w:eastAsia="Calibri" w:hAnsi="Calibri" w:cs="Arial"/>
                <w:sz w:val="18"/>
                <w:szCs w:val="18"/>
              </w:rPr>
              <w:t>Age 55 – 64 years</w:t>
            </w:r>
          </w:p>
        </w:tc>
        <w:tc>
          <w:tcPr>
            <w:tcW w:w="2410" w:type="dxa"/>
            <w:noWrap/>
            <w:vAlign w:val="bottom"/>
          </w:tcPr>
          <w:p w14:paraId="6B06BFAB" w14:textId="77777777" w:rsidR="00FE37DB" w:rsidRPr="00A20A17" w:rsidRDefault="00FE37DB" w:rsidP="00A80B48">
            <w:pPr>
              <w:spacing w:after="0"/>
              <w:jc w:val="right"/>
              <w:rPr>
                <w:rFonts w:ascii="Calibri" w:eastAsia="Calibri" w:hAnsi="Calibri" w:cs="Arial"/>
                <w:sz w:val="18"/>
                <w:szCs w:val="18"/>
              </w:rPr>
            </w:pPr>
            <w:r w:rsidRPr="00A20A17">
              <w:rPr>
                <w:rFonts w:ascii="Calibri" w:eastAsia="Calibri" w:hAnsi="Calibri" w:cs="Arial"/>
                <w:sz w:val="18"/>
                <w:szCs w:val="18"/>
              </w:rPr>
              <w:t>0.00</w:t>
            </w:r>
          </w:p>
        </w:tc>
      </w:tr>
      <w:tr w:rsidR="00FE37DB" w:rsidRPr="00A20A17" w14:paraId="59DC97D1" w14:textId="77777777" w:rsidTr="00A80B48">
        <w:trPr>
          <w:trHeight w:val="300"/>
        </w:trPr>
        <w:tc>
          <w:tcPr>
            <w:tcW w:w="5949" w:type="dxa"/>
            <w:noWrap/>
          </w:tcPr>
          <w:p w14:paraId="358717A0" w14:textId="77777777" w:rsidR="00FE37DB" w:rsidRPr="00A20A17" w:rsidRDefault="00FE37DB" w:rsidP="00A80B48">
            <w:pPr>
              <w:spacing w:after="0"/>
              <w:rPr>
                <w:rFonts w:ascii="Calibri" w:eastAsia="Calibri" w:hAnsi="Calibri" w:cs="Arial"/>
                <w:sz w:val="18"/>
                <w:szCs w:val="18"/>
              </w:rPr>
            </w:pPr>
            <w:r w:rsidRPr="00A20A17">
              <w:rPr>
                <w:rFonts w:ascii="Calibri" w:eastAsia="Calibri" w:hAnsi="Calibri" w:cs="Arial"/>
                <w:sz w:val="18"/>
                <w:szCs w:val="18"/>
              </w:rPr>
              <w:t>Age 65 – 74 years</w:t>
            </w:r>
          </w:p>
        </w:tc>
        <w:tc>
          <w:tcPr>
            <w:tcW w:w="2410" w:type="dxa"/>
            <w:noWrap/>
            <w:vAlign w:val="bottom"/>
          </w:tcPr>
          <w:p w14:paraId="1AA227C6" w14:textId="77777777" w:rsidR="00FE37DB" w:rsidRPr="00A20A17" w:rsidRDefault="00FE37DB" w:rsidP="00A80B48">
            <w:pPr>
              <w:spacing w:after="0"/>
              <w:jc w:val="right"/>
              <w:rPr>
                <w:rFonts w:ascii="Calibri" w:eastAsia="Calibri" w:hAnsi="Calibri" w:cs="Arial"/>
                <w:sz w:val="18"/>
                <w:szCs w:val="18"/>
              </w:rPr>
            </w:pPr>
            <w:r w:rsidRPr="00A20A17">
              <w:rPr>
                <w:rFonts w:ascii="Calibri" w:eastAsia="Calibri" w:hAnsi="Calibri" w:cs="Arial"/>
                <w:sz w:val="18"/>
                <w:szCs w:val="18"/>
              </w:rPr>
              <w:t>0.92</w:t>
            </w:r>
          </w:p>
        </w:tc>
      </w:tr>
      <w:tr w:rsidR="00FE37DB" w:rsidRPr="00A20A17" w14:paraId="25B143EE" w14:textId="77777777" w:rsidTr="00A80B48">
        <w:trPr>
          <w:trHeight w:val="300"/>
        </w:trPr>
        <w:tc>
          <w:tcPr>
            <w:tcW w:w="5949" w:type="dxa"/>
            <w:noWrap/>
          </w:tcPr>
          <w:p w14:paraId="7EB9124D" w14:textId="77777777" w:rsidR="00FE37DB" w:rsidRPr="00A20A17" w:rsidRDefault="00FE37DB" w:rsidP="00A80B48">
            <w:pPr>
              <w:spacing w:after="0"/>
              <w:rPr>
                <w:rFonts w:ascii="Calibri" w:eastAsia="Calibri" w:hAnsi="Calibri" w:cs="Arial"/>
                <w:sz w:val="18"/>
                <w:szCs w:val="18"/>
              </w:rPr>
            </w:pPr>
            <w:r w:rsidRPr="00A20A17">
              <w:rPr>
                <w:rFonts w:ascii="Calibri" w:eastAsia="Calibri" w:hAnsi="Calibri" w:cs="Arial"/>
                <w:sz w:val="18"/>
                <w:szCs w:val="18"/>
              </w:rPr>
              <w:t>Age 75+ years</w:t>
            </w:r>
          </w:p>
        </w:tc>
        <w:tc>
          <w:tcPr>
            <w:tcW w:w="2410" w:type="dxa"/>
            <w:noWrap/>
            <w:vAlign w:val="bottom"/>
          </w:tcPr>
          <w:p w14:paraId="1D000AF6" w14:textId="77777777" w:rsidR="00FE37DB" w:rsidRPr="00A20A17" w:rsidRDefault="00FE37DB" w:rsidP="00A80B48">
            <w:pPr>
              <w:spacing w:after="0"/>
              <w:jc w:val="right"/>
              <w:rPr>
                <w:rFonts w:ascii="Calibri" w:eastAsia="Calibri" w:hAnsi="Calibri" w:cs="Arial"/>
                <w:sz w:val="18"/>
                <w:szCs w:val="18"/>
              </w:rPr>
            </w:pPr>
            <w:r w:rsidRPr="00A20A17">
              <w:rPr>
                <w:rFonts w:ascii="Calibri" w:eastAsia="Calibri" w:hAnsi="Calibri" w:cs="Arial"/>
                <w:sz w:val="18"/>
                <w:szCs w:val="18"/>
              </w:rPr>
              <w:t>2.44</w:t>
            </w:r>
          </w:p>
        </w:tc>
      </w:tr>
      <w:tr w:rsidR="00FE37DB" w:rsidRPr="00A20A17" w14:paraId="1E5D3F8B" w14:textId="77777777" w:rsidTr="00A80B48">
        <w:trPr>
          <w:trHeight w:val="300"/>
        </w:trPr>
        <w:tc>
          <w:tcPr>
            <w:tcW w:w="8359" w:type="dxa"/>
            <w:gridSpan w:val="2"/>
            <w:noWrap/>
          </w:tcPr>
          <w:p w14:paraId="1C87BCA8" w14:textId="77777777" w:rsidR="00FE37DB" w:rsidRPr="00A20A17" w:rsidRDefault="00FE37DB" w:rsidP="00A80B48">
            <w:pPr>
              <w:spacing w:after="0"/>
              <w:rPr>
                <w:rFonts w:ascii="Calibri" w:eastAsia="Calibri" w:hAnsi="Calibri" w:cs="Arial"/>
                <w:sz w:val="18"/>
                <w:szCs w:val="18"/>
              </w:rPr>
            </w:pPr>
            <w:r w:rsidRPr="00A20A17">
              <w:rPr>
                <w:rFonts w:ascii="Calibri" w:eastAsia="Calibri" w:hAnsi="Calibri" w:cs="Arial"/>
                <w:sz w:val="18"/>
                <w:szCs w:val="18"/>
              </w:rPr>
              <w:t xml:space="preserve">Source: Calculated from the proportion of admissions for myocardial infarction which resulted in death within 28 days from Asaria et al </w:t>
            </w:r>
            <w:r w:rsidRPr="00A20A17">
              <w:rPr>
                <w:rFonts w:ascii="Calibri" w:eastAsia="Calibri" w:hAnsi="Calibri" w:cs="Arial"/>
                <w:sz w:val="18"/>
                <w:szCs w:val="18"/>
              </w:rPr>
              <w:fldChar w:fldCharType="begin"/>
            </w:r>
            <w:r w:rsidRPr="00A20A17">
              <w:rPr>
                <w:rFonts w:ascii="Calibri" w:eastAsia="Calibri" w:hAnsi="Calibri" w:cs="Arial"/>
                <w:sz w:val="18"/>
                <w:szCs w:val="18"/>
              </w:rPr>
              <w:instrText xml:space="preserve"> ADDIN EN.CITE &lt;EndNote&gt;&lt;Cite&gt;&lt;Author&gt;Asaria&lt;/Author&gt;&lt;Year&gt;2017&lt;/Year&gt;&lt;IDText&gt;Acute myocardial infarction hospital admissions and deaths in England: a national follow-back and follow-forward record-linkage study&lt;/IDText&gt;&lt;DisplayText&gt;&lt;style face="superscript"&gt;27&lt;/style&gt;&lt;/DisplayText&gt;&lt;record&gt;&lt;dates&gt;&lt;pub-dates&gt;&lt;date&gt;04&lt;/date&gt;&lt;/pub-dates&gt;&lt;year&gt;2017&lt;/year&gt;&lt;/dates&gt;&lt;keywords&gt;&lt;keyword&gt;Adult&lt;/keyword&gt;&lt;keyword&gt;Aged&lt;/keyword&gt;&lt;keyword&gt;Aged, 80 and over&lt;/keyword&gt;&lt;keyword&gt;England&lt;/keyword&gt;&lt;keyword&gt;Female&lt;/keyword&gt;&lt;keyword&gt;Hospital Mortality&lt;/keyword&gt;&lt;keyword&gt;Hospitalization&lt;/keyword&gt;&lt;keyword&gt;Humans&lt;/keyword&gt;&lt;keyword&gt;Male&lt;/keyword&gt;&lt;keyword&gt;Medical Record Linkage&lt;/keyword&gt;&lt;keyword&gt;Middle Aged&lt;/keyword&gt;&lt;keyword&gt;Myocardial Infarction&lt;/keyword&gt;&lt;/keywords&gt;&lt;urls&gt;&lt;related-urls&gt;&lt;url&gt;https://www.ncbi.nlm.nih.gov/pubmed/29253451&lt;/url&gt;&lt;/related-urls&gt;&lt;/urls&gt;&lt;isbn&gt;2468-2667&lt;/isbn&gt;&lt;custom2&gt;PMC6196770&lt;/custom2&gt;&lt;titles&gt;&lt;title&gt;Acute myocardial infarction hospital admissions and deaths in England: a national follow-back and follow-forward record-linkage study&lt;/title&gt;&lt;secondary-title&gt;Lancet Public Health&lt;/secondary-title&gt;&lt;/titles&gt;&lt;pages&gt;e191-e201&lt;/pages&gt;&lt;number&gt;4&lt;/number&gt;&lt;contributors&gt;&lt;authors&gt;&lt;author&gt;Asaria, P.&lt;/author&gt;&lt;author&gt;Elliott, P.&lt;/author&gt;&lt;author&gt;Douglass, M.&lt;/author&gt;&lt;author&gt;Obermeyer, Z.&lt;/author&gt;&lt;author&gt;Soljak, M.&lt;/author&gt;&lt;author&gt;Majeed, A.&lt;/author&gt;&lt;author&gt;Ezzati, M.&lt;/author&gt;&lt;/authors&gt;&lt;/contributors&gt;&lt;edition&gt;2017/03/01&lt;/edition&gt;&lt;language&gt;eng&lt;/language&gt;&lt;added-date format="utc"&gt;1621873918&lt;/added-date&gt;&lt;ref-type name="Journal Article"&gt;17&lt;/ref-type&gt;&lt;rec-number&gt;227&lt;/rec-number&gt;&lt;last-updated-date format="utc"&gt;1621873918&lt;/last-updated-date&gt;&lt;accession-num&gt;29253451&lt;/accession-num&gt;&lt;electronic-resource-num&gt;10.1016/S2468-2667(17)30032-4&lt;/electronic-resource-num&gt;&lt;volume&gt;2&lt;/volume&gt;&lt;/record&gt;&lt;/Cite&gt;&lt;/EndNote&gt;</w:instrText>
            </w:r>
            <w:r w:rsidRPr="00A20A17">
              <w:rPr>
                <w:rFonts w:ascii="Calibri" w:eastAsia="Calibri" w:hAnsi="Calibri" w:cs="Arial"/>
                <w:sz w:val="18"/>
                <w:szCs w:val="18"/>
              </w:rPr>
              <w:fldChar w:fldCharType="separate"/>
            </w:r>
            <w:r w:rsidRPr="00A20A17">
              <w:rPr>
                <w:rFonts w:ascii="Calibri" w:eastAsia="Calibri" w:hAnsi="Calibri" w:cs="Arial"/>
                <w:noProof/>
                <w:sz w:val="18"/>
                <w:szCs w:val="18"/>
                <w:vertAlign w:val="superscript"/>
              </w:rPr>
              <w:t>27</w:t>
            </w:r>
            <w:r w:rsidRPr="00A20A17">
              <w:rPr>
                <w:rFonts w:ascii="Calibri" w:eastAsia="Calibri" w:hAnsi="Calibri" w:cs="Arial"/>
                <w:sz w:val="18"/>
                <w:szCs w:val="18"/>
              </w:rPr>
              <w:fldChar w:fldCharType="end"/>
            </w:r>
            <w:r w:rsidRPr="00A20A17">
              <w:rPr>
                <w:rFonts w:ascii="Calibri" w:eastAsia="Calibri" w:hAnsi="Calibri" w:cs="Arial"/>
                <w:sz w:val="18"/>
                <w:szCs w:val="18"/>
              </w:rPr>
              <w:t>., as the relative change compared to proportion of deaths in age 55-64 years, given that the average age at the 1</w:t>
            </w:r>
            <w:r w:rsidRPr="00A20A17">
              <w:rPr>
                <w:rFonts w:ascii="Calibri" w:eastAsia="Calibri" w:hAnsi="Calibri" w:cs="Arial"/>
                <w:sz w:val="18"/>
                <w:szCs w:val="18"/>
                <w:vertAlign w:val="superscript"/>
              </w:rPr>
              <w:t>st</w:t>
            </w:r>
            <w:r w:rsidRPr="00A20A17">
              <w:rPr>
                <w:rFonts w:ascii="Calibri" w:eastAsia="Calibri" w:hAnsi="Calibri" w:cs="Arial"/>
                <w:sz w:val="18"/>
                <w:szCs w:val="18"/>
              </w:rPr>
              <w:t xml:space="preserve"> major cardiovascular event in the CPRD cohort was 57 years in males and 64 years in females. </w:t>
            </w:r>
          </w:p>
        </w:tc>
      </w:tr>
    </w:tbl>
    <w:p w14:paraId="7A5B680C" w14:textId="77777777" w:rsidR="00FE37DB" w:rsidRPr="00A20A17" w:rsidRDefault="00FE37DB" w:rsidP="00FE37DB">
      <w:pPr>
        <w:spacing w:before="120" w:after="120"/>
        <w:rPr>
          <w:rFonts w:ascii="Calibri" w:eastAsia="Calibri" w:hAnsi="Calibri" w:cs="Arial"/>
        </w:rPr>
      </w:pPr>
    </w:p>
    <w:p w14:paraId="1FB3892D" w14:textId="77777777" w:rsidR="00FE37DB" w:rsidRPr="00A20A17" w:rsidRDefault="00FE37DB" w:rsidP="00FE37DB">
      <w:pPr>
        <w:keepNext/>
        <w:spacing w:before="120"/>
        <w:rPr>
          <w:rFonts w:ascii="Calibri" w:eastAsia="Calibri" w:hAnsi="Calibri" w:cs="Arial"/>
          <w:i/>
          <w:iCs/>
          <w:color w:val="44546A"/>
          <w:sz w:val="18"/>
          <w:szCs w:val="18"/>
        </w:rPr>
      </w:pPr>
      <w:r w:rsidRPr="00A20A17">
        <w:rPr>
          <w:rFonts w:ascii="Calibri" w:eastAsia="Calibri" w:hAnsi="Calibri" w:cs="Arial"/>
          <w:i/>
          <w:iCs/>
          <w:color w:val="44546A"/>
          <w:sz w:val="18"/>
          <w:szCs w:val="18"/>
        </w:rPr>
        <w:t xml:space="preserve">Table </w:t>
      </w:r>
      <w:r w:rsidRPr="00A20A17">
        <w:rPr>
          <w:rFonts w:ascii="Calibri" w:eastAsia="Calibri" w:hAnsi="Calibri" w:cs="Arial"/>
          <w:i/>
          <w:iCs/>
          <w:color w:val="44546A"/>
          <w:sz w:val="18"/>
          <w:szCs w:val="18"/>
        </w:rPr>
        <w:fldChar w:fldCharType="begin"/>
      </w:r>
      <w:r w:rsidRPr="00A20A17">
        <w:rPr>
          <w:rFonts w:ascii="Calibri" w:eastAsia="Calibri" w:hAnsi="Calibri" w:cs="Arial"/>
          <w:i/>
          <w:iCs/>
          <w:color w:val="44546A"/>
          <w:sz w:val="18"/>
          <w:szCs w:val="18"/>
        </w:rPr>
        <w:instrText>SEQ Table \* ARABIC</w:instrText>
      </w:r>
      <w:r w:rsidRPr="00A20A17">
        <w:rPr>
          <w:rFonts w:ascii="Calibri" w:eastAsia="Calibri" w:hAnsi="Calibri" w:cs="Arial"/>
          <w:i/>
          <w:iCs/>
          <w:color w:val="44546A"/>
          <w:sz w:val="18"/>
          <w:szCs w:val="18"/>
        </w:rPr>
        <w:fldChar w:fldCharType="separate"/>
      </w:r>
      <w:r w:rsidRPr="00A20A17">
        <w:rPr>
          <w:rFonts w:ascii="Calibri" w:eastAsia="Calibri" w:hAnsi="Calibri" w:cs="Arial"/>
          <w:i/>
          <w:iCs/>
          <w:noProof/>
          <w:color w:val="44546A"/>
          <w:sz w:val="18"/>
          <w:szCs w:val="18"/>
        </w:rPr>
        <w:t>21</w:t>
      </w:r>
      <w:r w:rsidRPr="00A20A17">
        <w:rPr>
          <w:rFonts w:ascii="Calibri" w:eastAsia="Calibri" w:hAnsi="Calibri" w:cs="Arial"/>
          <w:i/>
          <w:iCs/>
          <w:color w:val="44546A"/>
          <w:sz w:val="18"/>
          <w:szCs w:val="18"/>
        </w:rPr>
        <w:fldChar w:fldCharType="end"/>
      </w:r>
      <w:r w:rsidRPr="00A20A17">
        <w:rPr>
          <w:rFonts w:ascii="Calibri" w:eastAsia="Calibri" w:hAnsi="Calibri" w:cs="Arial"/>
          <w:i/>
          <w:iCs/>
          <w:color w:val="44546A"/>
          <w:sz w:val="18"/>
          <w:szCs w:val="18"/>
        </w:rPr>
        <w:t>: Model inputs for scenario 24: low-intensity monitoring</w:t>
      </w:r>
    </w:p>
    <w:tbl>
      <w:tblPr>
        <w:tblStyle w:val="TableGrid21"/>
        <w:tblW w:w="0" w:type="auto"/>
        <w:tblLook w:val="04A0" w:firstRow="1" w:lastRow="0" w:firstColumn="1" w:lastColumn="0" w:noHBand="0" w:noVBand="1"/>
      </w:tblPr>
      <w:tblGrid>
        <w:gridCol w:w="4866"/>
        <w:gridCol w:w="2114"/>
        <w:gridCol w:w="1520"/>
      </w:tblGrid>
      <w:tr w:rsidR="00FE37DB" w:rsidRPr="00A20A17" w14:paraId="3082F874" w14:textId="77777777" w:rsidTr="00A80B48">
        <w:trPr>
          <w:trHeight w:val="300"/>
        </w:trPr>
        <w:tc>
          <w:tcPr>
            <w:tcW w:w="0" w:type="auto"/>
            <w:hideMark/>
          </w:tcPr>
          <w:p w14:paraId="45A23DB7" w14:textId="77777777" w:rsidR="00FE37DB" w:rsidRPr="00A20A17" w:rsidRDefault="00FE37DB" w:rsidP="00A80B48">
            <w:pPr>
              <w:spacing w:after="0" w:line="240" w:lineRule="auto"/>
              <w:rPr>
                <w:rFonts w:ascii="Calibri" w:hAnsi="Calibri" w:cs="Calibri"/>
                <w:b/>
                <w:bCs/>
                <w:color w:val="000000"/>
                <w:lang w:eastAsia="en-GB"/>
              </w:rPr>
            </w:pPr>
            <w:r w:rsidRPr="00A20A17">
              <w:rPr>
                <w:rFonts w:ascii="Calibri" w:hAnsi="Calibri" w:cs="Calibri"/>
                <w:b/>
                <w:bCs/>
                <w:color w:val="000000"/>
                <w:lang w:eastAsia="en-GB"/>
              </w:rPr>
              <w:t>Individual group</w:t>
            </w:r>
          </w:p>
        </w:tc>
        <w:tc>
          <w:tcPr>
            <w:tcW w:w="0" w:type="auto"/>
          </w:tcPr>
          <w:p w14:paraId="7C26826C" w14:textId="77777777" w:rsidR="00FE37DB" w:rsidRPr="00A20A17" w:rsidRDefault="00FE37DB" w:rsidP="00A80B48">
            <w:pPr>
              <w:spacing w:after="0" w:line="240" w:lineRule="auto"/>
              <w:jc w:val="center"/>
              <w:rPr>
                <w:rFonts w:ascii="Calibri" w:hAnsi="Calibri" w:cs="Calibri"/>
                <w:b/>
                <w:bCs/>
                <w:color w:val="000000"/>
                <w:lang w:eastAsia="en-GB"/>
              </w:rPr>
            </w:pPr>
            <w:r w:rsidRPr="00A20A17">
              <w:rPr>
                <w:rFonts w:ascii="Calibri" w:hAnsi="Calibri" w:cs="Calibri"/>
                <w:b/>
                <w:bCs/>
                <w:color w:val="000000"/>
                <w:lang w:eastAsia="en-GB"/>
              </w:rPr>
              <w:t>Number of appointments</w:t>
            </w:r>
          </w:p>
        </w:tc>
        <w:tc>
          <w:tcPr>
            <w:tcW w:w="1520" w:type="dxa"/>
            <w:noWrap/>
            <w:hideMark/>
          </w:tcPr>
          <w:p w14:paraId="6C666D7B" w14:textId="77777777" w:rsidR="00FE37DB" w:rsidRPr="00A20A17" w:rsidRDefault="00FE37DB" w:rsidP="00A80B48">
            <w:pPr>
              <w:spacing w:after="0" w:line="240" w:lineRule="auto"/>
              <w:jc w:val="center"/>
              <w:rPr>
                <w:rFonts w:ascii="Calibri" w:hAnsi="Calibri" w:cs="Calibri"/>
                <w:b/>
                <w:bCs/>
                <w:color w:val="000000"/>
                <w:lang w:eastAsia="en-GB"/>
              </w:rPr>
            </w:pPr>
            <w:r w:rsidRPr="00A20A17">
              <w:rPr>
                <w:rFonts w:ascii="Calibri" w:hAnsi="Calibri" w:cs="Calibri"/>
                <w:b/>
                <w:bCs/>
                <w:color w:val="000000"/>
                <w:lang w:eastAsia="en-GB"/>
              </w:rPr>
              <w:t>Cost</w:t>
            </w:r>
          </w:p>
        </w:tc>
      </w:tr>
      <w:tr w:rsidR="00FE37DB" w:rsidRPr="00A20A17" w14:paraId="57391636" w14:textId="77777777" w:rsidTr="00A80B48">
        <w:trPr>
          <w:trHeight w:val="300"/>
        </w:trPr>
        <w:tc>
          <w:tcPr>
            <w:tcW w:w="0" w:type="auto"/>
            <w:shd w:val="clear" w:color="auto" w:fill="E7E6E6"/>
            <w:hideMark/>
          </w:tcPr>
          <w:p w14:paraId="2B823BDB" w14:textId="77777777" w:rsidR="00FE37DB" w:rsidRPr="00A20A17" w:rsidRDefault="00FE37DB" w:rsidP="00A80B48">
            <w:pPr>
              <w:spacing w:after="0" w:line="240" w:lineRule="auto"/>
              <w:rPr>
                <w:rFonts w:ascii="Calibri" w:hAnsi="Calibri" w:cs="Calibri"/>
                <w:color w:val="000000"/>
                <w:lang w:eastAsia="en-GB"/>
              </w:rPr>
            </w:pPr>
            <w:r w:rsidRPr="00A20A17">
              <w:rPr>
                <w:rFonts w:ascii="Calibri" w:hAnsi="Calibri" w:cs="Calibri"/>
                <w:color w:val="000000"/>
                <w:lang w:eastAsia="en-GB"/>
              </w:rPr>
              <w:t>Adults</w:t>
            </w:r>
          </w:p>
        </w:tc>
        <w:tc>
          <w:tcPr>
            <w:tcW w:w="0" w:type="auto"/>
            <w:shd w:val="clear" w:color="auto" w:fill="E7E6E6"/>
          </w:tcPr>
          <w:p w14:paraId="3E3EFF80" w14:textId="77777777" w:rsidR="00FE37DB" w:rsidRPr="00A20A17" w:rsidRDefault="00FE37DB" w:rsidP="00A80B48">
            <w:pPr>
              <w:spacing w:after="0" w:line="240" w:lineRule="auto"/>
              <w:rPr>
                <w:rFonts w:ascii="Calibri" w:hAnsi="Calibri" w:cs="Calibri"/>
                <w:color w:val="000000"/>
                <w:lang w:eastAsia="en-GB"/>
              </w:rPr>
            </w:pPr>
          </w:p>
        </w:tc>
        <w:tc>
          <w:tcPr>
            <w:tcW w:w="1520" w:type="dxa"/>
            <w:shd w:val="clear" w:color="auto" w:fill="E7E6E6"/>
            <w:noWrap/>
            <w:hideMark/>
          </w:tcPr>
          <w:p w14:paraId="11DC9B28" w14:textId="77777777" w:rsidR="00FE37DB" w:rsidRPr="00A20A17" w:rsidRDefault="00FE37DB" w:rsidP="00A80B48">
            <w:pPr>
              <w:spacing w:after="0" w:line="240" w:lineRule="auto"/>
              <w:rPr>
                <w:rFonts w:ascii="Calibri" w:hAnsi="Calibri" w:cs="Calibri"/>
                <w:color w:val="000000"/>
                <w:lang w:eastAsia="en-GB"/>
              </w:rPr>
            </w:pPr>
            <w:r w:rsidRPr="00A20A17">
              <w:rPr>
                <w:rFonts w:ascii="Calibri" w:hAnsi="Calibri" w:cs="Calibri"/>
                <w:color w:val="000000"/>
                <w:lang w:eastAsia="en-GB"/>
              </w:rPr>
              <w:t> </w:t>
            </w:r>
          </w:p>
        </w:tc>
      </w:tr>
      <w:tr w:rsidR="00FE37DB" w:rsidRPr="00A20A17" w14:paraId="6A5404C1" w14:textId="77777777" w:rsidTr="00A80B48">
        <w:trPr>
          <w:trHeight w:val="300"/>
        </w:trPr>
        <w:tc>
          <w:tcPr>
            <w:tcW w:w="0" w:type="auto"/>
            <w:hideMark/>
          </w:tcPr>
          <w:p w14:paraId="4415F6CD" w14:textId="77777777" w:rsidR="00FE37DB" w:rsidRPr="00A20A17" w:rsidRDefault="00FE37DB" w:rsidP="00A80B48">
            <w:pPr>
              <w:spacing w:after="0" w:line="240" w:lineRule="auto"/>
              <w:rPr>
                <w:rFonts w:ascii="Calibri" w:hAnsi="Calibri" w:cs="Calibri"/>
                <w:color w:val="000000"/>
                <w:lang w:eastAsia="en-GB"/>
              </w:rPr>
            </w:pPr>
            <w:r w:rsidRPr="00A20A17">
              <w:rPr>
                <w:rFonts w:ascii="Calibri" w:hAnsi="Calibri" w:cs="Calibri"/>
                <w:color w:val="000000"/>
                <w:lang w:eastAsia="en-GB"/>
              </w:rPr>
              <w:t>Primary care Year 1: number of appointments (&amp; lipid tests)</w:t>
            </w:r>
          </w:p>
        </w:tc>
        <w:tc>
          <w:tcPr>
            <w:tcW w:w="0" w:type="auto"/>
          </w:tcPr>
          <w:p w14:paraId="19A9E081"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2.0</w:t>
            </w:r>
          </w:p>
        </w:tc>
        <w:tc>
          <w:tcPr>
            <w:tcW w:w="1520" w:type="dxa"/>
            <w:noWrap/>
            <w:vAlign w:val="center"/>
          </w:tcPr>
          <w:p w14:paraId="25167A06"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£92</w:t>
            </w:r>
          </w:p>
        </w:tc>
      </w:tr>
      <w:tr w:rsidR="00FE37DB" w:rsidRPr="00A20A17" w14:paraId="68221F77" w14:textId="77777777" w:rsidTr="00A80B48">
        <w:trPr>
          <w:trHeight w:val="300"/>
        </w:trPr>
        <w:tc>
          <w:tcPr>
            <w:tcW w:w="0" w:type="auto"/>
            <w:hideMark/>
          </w:tcPr>
          <w:p w14:paraId="34475261" w14:textId="77777777" w:rsidR="00FE37DB" w:rsidRPr="00A20A17" w:rsidRDefault="00FE37DB" w:rsidP="00A80B48">
            <w:pPr>
              <w:spacing w:after="0" w:line="240" w:lineRule="auto"/>
              <w:rPr>
                <w:rFonts w:ascii="Calibri" w:hAnsi="Calibri" w:cs="Calibri"/>
                <w:color w:val="000000"/>
                <w:lang w:eastAsia="en-GB"/>
              </w:rPr>
            </w:pPr>
            <w:r w:rsidRPr="00A20A17">
              <w:rPr>
                <w:rFonts w:ascii="Calibri" w:hAnsi="Calibri" w:cs="Calibri"/>
                <w:color w:val="000000"/>
                <w:lang w:eastAsia="en-GB"/>
              </w:rPr>
              <w:t>Primary care Year 2+: number of appointments (&amp; lipid tests)</w:t>
            </w:r>
          </w:p>
        </w:tc>
        <w:tc>
          <w:tcPr>
            <w:tcW w:w="0" w:type="auto"/>
          </w:tcPr>
          <w:p w14:paraId="2F302D27"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0.8</w:t>
            </w:r>
          </w:p>
        </w:tc>
        <w:tc>
          <w:tcPr>
            <w:tcW w:w="1520" w:type="dxa"/>
            <w:noWrap/>
            <w:vAlign w:val="center"/>
          </w:tcPr>
          <w:p w14:paraId="664109CE"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£26</w:t>
            </w:r>
          </w:p>
        </w:tc>
      </w:tr>
      <w:tr w:rsidR="00FE37DB" w:rsidRPr="00A20A17" w14:paraId="42A07DBD" w14:textId="77777777" w:rsidTr="00A80B48">
        <w:trPr>
          <w:trHeight w:val="300"/>
        </w:trPr>
        <w:tc>
          <w:tcPr>
            <w:tcW w:w="0" w:type="auto"/>
            <w:hideMark/>
          </w:tcPr>
          <w:p w14:paraId="001E0D33" w14:textId="77777777" w:rsidR="00FE37DB" w:rsidRPr="00A20A17" w:rsidRDefault="00FE37DB" w:rsidP="00A80B48">
            <w:pPr>
              <w:spacing w:after="0" w:line="240" w:lineRule="auto"/>
              <w:rPr>
                <w:rFonts w:ascii="Calibri" w:hAnsi="Calibri" w:cs="Calibri"/>
                <w:color w:val="000000"/>
                <w:lang w:eastAsia="en-GB"/>
              </w:rPr>
            </w:pPr>
            <w:r w:rsidRPr="00A20A17">
              <w:rPr>
                <w:rFonts w:ascii="Calibri" w:hAnsi="Calibri" w:cs="Calibri"/>
                <w:color w:val="000000"/>
                <w:lang w:eastAsia="en-GB"/>
              </w:rPr>
              <w:t>Secondary care Year 1: number of appointments (&amp; lipid tests)</w:t>
            </w:r>
          </w:p>
        </w:tc>
        <w:tc>
          <w:tcPr>
            <w:tcW w:w="0" w:type="auto"/>
          </w:tcPr>
          <w:p w14:paraId="1BECFF66"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2.0</w:t>
            </w:r>
          </w:p>
        </w:tc>
        <w:tc>
          <w:tcPr>
            <w:tcW w:w="1520" w:type="dxa"/>
            <w:noWrap/>
            <w:vAlign w:val="center"/>
          </w:tcPr>
          <w:p w14:paraId="6E0EA36D"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£386</w:t>
            </w:r>
          </w:p>
        </w:tc>
      </w:tr>
      <w:tr w:rsidR="00FE37DB" w:rsidRPr="00A20A17" w14:paraId="287D444D" w14:textId="77777777" w:rsidTr="00A80B48">
        <w:trPr>
          <w:trHeight w:val="300"/>
        </w:trPr>
        <w:tc>
          <w:tcPr>
            <w:tcW w:w="0" w:type="auto"/>
            <w:hideMark/>
          </w:tcPr>
          <w:p w14:paraId="2204A04A" w14:textId="77777777" w:rsidR="00FE37DB" w:rsidRPr="00A20A17" w:rsidRDefault="00FE37DB" w:rsidP="00A80B48">
            <w:pPr>
              <w:spacing w:after="0" w:line="240" w:lineRule="auto"/>
              <w:rPr>
                <w:rFonts w:ascii="Calibri" w:hAnsi="Calibri" w:cs="Calibri"/>
                <w:color w:val="000000"/>
                <w:lang w:eastAsia="en-GB"/>
              </w:rPr>
            </w:pPr>
            <w:r w:rsidRPr="00A20A17">
              <w:rPr>
                <w:rFonts w:ascii="Calibri" w:hAnsi="Calibri" w:cs="Calibri"/>
                <w:color w:val="000000"/>
                <w:lang w:eastAsia="en-GB"/>
              </w:rPr>
              <w:t>Secondary care Year 2+: number of appointments (&amp; lipid tests)</w:t>
            </w:r>
          </w:p>
        </w:tc>
        <w:tc>
          <w:tcPr>
            <w:tcW w:w="0" w:type="auto"/>
          </w:tcPr>
          <w:p w14:paraId="26860E8D"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0.8</w:t>
            </w:r>
          </w:p>
        </w:tc>
        <w:tc>
          <w:tcPr>
            <w:tcW w:w="1520" w:type="dxa"/>
            <w:noWrap/>
            <w:vAlign w:val="center"/>
          </w:tcPr>
          <w:p w14:paraId="7FE8FEA0"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£128</w:t>
            </w:r>
          </w:p>
        </w:tc>
      </w:tr>
      <w:tr w:rsidR="00FE37DB" w:rsidRPr="00A20A17" w14:paraId="074435D6" w14:textId="77777777" w:rsidTr="00A80B48">
        <w:trPr>
          <w:trHeight w:val="300"/>
        </w:trPr>
        <w:tc>
          <w:tcPr>
            <w:tcW w:w="0" w:type="auto"/>
            <w:shd w:val="clear" w:color="auto" w:fill="E7E6E6"/>
            <w:hideMark/>
          </w:tcPr>
          <w:p w14:paraId="68B20155" w14:textId="77777777" w:rsidR="00FE37DB" w:rsidRPr="00A20A17" w:rsidRDefault="00FE37DB" w:rsidP="00A80B48">
            <w:pPr>
              <w:spacing w:after="0" w:line="240" w:lineRule="auto"/>
              <w:rPr>
                <w:rFonts w:ascii="Calibri" w:hAnsi="Calibri" w:cs="Calibri"/>
                <w:color w:val="000000"/>
                <w:lang w:eastAsia="en-GB"/>
              </w:rPr>
            </w:pPr>
            <w:r w:rsidRPr="00A20A17">
              <w:rPr>
                <w:rFonts w:ascii="Calibri" w:hAnsi="Calibri" w:cs="Calibri"/>
                <w:color w:val="000000"/>
                <w:lang w:eastAsia="en-GB"/>
              </w:rPr>
              <w:t>Children and adolescents: not treated post diagnosis</w:t>
            </w:r>
          </w:p>
        </w:tc>
        <w:tc>
          <w:tcPr>
            <w:tcW w:w="0" w:type="auto"/>
            <w:shd w:val="clear" w:color="auto" w:fill="E7E6E6"/>
          </w:tcPr>
          <w:p w14:paraId="0FE9FF09" w14:textId="77777777" w:rsidR="00FE37DB" w:rsidRPr="00A20A17" w:rsidRDefault="00FE37DB" w:rsidP="00A80B48">
            <w:pPr>
              <w:spacing w:after="0" w:line="240" w:lineRule="auto"/>
              <w:jc w:val="right"/>
              <w:rPr>
                <w:rFonts w:ascii="Calibri" w:hAnsi="Calibri" w:cs="Calibri"/>
                <w:color w:val="000000"/>
                <w:lang w:eastAsia="en-GB"/>
              </w:rPr>
            </w:pPr>
          </w:p>
        </w:tc>
        <w:tc>
          <w:tcPr>
            <w:tcW w:w="1520" w:type="dxa"/>
            <w:shd w:val="clear" w:color="auto" w:fill="E7E6E6"/>
            <w:noWrap/>
            <w:vAlign w:val="center"/>
            <w:hideMark/>
          </w:tcPr>
          <w:p w14:paraId="1EE9B7FD"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 </w:t>
            </w:r>
          </w:p>
        </w:tc>
      </w:tr>
      <w:tr w:rsidR="00FE37DB" w:rsidRPr="00A20A17" w14:paraId="2786AC8A" w14:textId="77777777" w:rsidTr="00A80B48">
        <w:trPr>
          <w:trHeight w:val="300"/>
        </w:trPr>
        <w:tc>
          <w:tcPr>
            <w:tcW w:w="0" w:type="auto"/>
            <w:hideMark/>
          </w:tcPr>
          <w:p w14:paraId="5ED20CCF" w14:textId="77777777" w:rsidR="00FE37DB" w:rsidRPr="00A20A17" w:rsidRDefault="00FE37DB" w:rsidP="00A80B48">
            <w:pPr>
              <w:spacing w:after="0" w:line="240" w:lineRule="auto"/>
              <w:rPr>
                <w:rFonts w:ascii="Calibri" w:hAnsi="Calibri" w:cs="Calibri"/>
                <w:color w:val="000000"/>
                <w:lang w:eastAsia="en-GB"/>
              </w:rPr>
            </w:pPr>
            <w:r w:rsidRPr="00A20A17">
              <w:rPr>
                <w:rFonts w:ascii="Calibri" w:hAnsi="Calibri" w:cs="Calibri"/>
                <w:color w:val="000000"/>
                <w:lang w:eastAsia="en-GB"/>
              </w:rPr>
              <w:t>Year 1: number of appointments (&amp; lipid tests)</w:t>
            </w:r>
          </w:p>
        </w:tc>
        <w:tc>
          <w:tcPr>
            <w:tcW w:w="0" w:type="auto"/>
          </w:tcPr>
          <w:p w14:paraId="3B4258A3"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1.0</w:t>
            </w:r>
          </w:p>
        </w:tc>
        <w:tc>
          <w:tcPr>
            <w:tcW w:w="1520" w:type="dxa"/>
            <w:noWrap/>
            <w:vAlign w:val="center"/>
          </w:tcPr>
          <w:p w14:paraId="7B4F2D38"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£272</w:t>
            </w:r>
          </w:p>
        </w:tc>
      </w:tr>
      <w:tr w:rsidR="00FE37DB" w:rsidRPr="00A20A17" w14:paraId="527F28F9" w14:textId="77777777" w:rsidTr="00A80B48">
        <w:trPr>
          <w:trHeight w:val="300"/>
        </w:trPr>
        <w:tc>
          <w:tcPr>
            <w:tcW w:w="0" w:type="auto"/>
            <w:hideMark/>
          </w:tcPr>
          <w:p w14:paraId="7495F2E3" w14:textId="77777777" w:rsidR="00FE37DB" w:rsidRPr="00A20A17" w:rsidRDefault="00FE37DB" w:rsidP="00A80B48">
            <w:pPr>
              <w:spacing w:after="0" w:line="240" w:lineRule="auto"/>
              <w:rPr>
                <w:rFonts w:ascii="Calibri" w:hAnsi="Calibri" w:cs="Calibri"/>
                <w:color w:val="000000"/>
                <w:lang w:eastAsia="en-GB"/>
              </w:rPr>
            </w:pPr>
            <w:r w:rsidRPr="00A20A17">
              <w:rPr>
                <w:rFonts w:ascii="Calibri" w:hAnsi="Calibri" w:cs="Calibri"/>
                <w:color w:val="000000"/>
                <w:lang w:eastAsia="en-GB"/>
              </w:rPr>
              <w:t>Year 2: number of appointments (&amp; lipid tests)</w:t>
            </w:r>
          </w:p>
        </w:tc>
        <w:tc>
          <w:tcPr>
            <w:tcW w:w="0" w:type="auto"/>
          </w:tcPr>
          <w:p w14:paraId="3793D69E"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0.0</w:t>
            </w:r>
          </w:p>
        </w:tc>
        <w:tc>
          <w:tcPr>
            <w:tcW w:w="1520" w:type="dxa"/>
            <w:noWrap/>
            <w:vAlign w:val="center"/>
          </w:tcPr>
          <w:p w14:paraId="3D9D3175"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£0</w:t>
            </w:r>
          </w:p>
        </w:tc>
      </w:tr>
      <w:tr w:rsidR="00FE37DB" w:rsidRPr="00A20A17" w14:paraId="49CEDB40" w14:textId="77777777" w:rsidTr="00A80B48">
        <w:trPr>
          <w:trHeight w:val="300"/>
        </w:trPr>
        <w:tc>
          <w:tcPr>
            <w:tcW w:w="0" w:type="auto"/>
            <w:shd w:val="clear" w:color="auto" w:fill="E7E6E6"/>
            <w:hideMark/>
          </w:tcPr>
          <w:p w14:paraId="7353BFA1" w14:textId="77777777" w:rsidR="00FE37DB" w:rsidRPr="00A20A17" w:rsidRDefault="00FE37DB" w:rsidP="00A80B48">
            <w:pPr>
              <w:spacing w:after="0" w:line="240" w:lineRule="auto"/>
              <w:rPr>
                <w:rFonts w:ascii="Calibri" w:hAnsi="Calibri" w:cs="Calibri"/>
                <w:color w:val="000000"/>
                <w:lang w:eastAsia="en-GB"/>
              </w:rPr>
            </w:pPr>
            <w:r w:rsidRPr="00A20A17">
              <w:rPr>
                <w:rFonts w:ascii="Calibri" w:hAnsi="Calibri" w:cs="Calibri"/>
                <w:color w:val="000000"/>
                <w:lang w:eastAsia="en-GB"/>
              </w:rPr>
              <w:t>Children and adolescents: treated post diagnosis</w:t>
            </w:r>
          </w:p>
        </w:tc>
        <w:tc>
          <w:tcPr>
            <w:tcW w:w="0" w:type="auto"/>
            <w:shd w:val="clear" w:color="auto" w:fill="E7E6E6"/>
          </w:tcPr>
          <w:p w14:paraId="6EEB8842" w14:textId="77777777" w:rsidR="00FE37DB" w:rsidRPr="00A20A17" w:rsidRDefault="00FE37DB" w:rsidP="00A80B48">
            <w:pPr>
              <w:spacing w:after="0" w:line="240" w:lineRule="auto"/>
              <w:jc w:val="right"/>
              <w:rPr>
                <w:rFonts w:ascii="Calibri" w:hAnsi="Calibri" w:cs="Calibri"/>
                <w:color w:val="000000"/>
                <w:lang w:eastAsia="en-GB"/>
              </w:rPr>
            </w:pPr>
          </w:p>
        </w:tc>
        <w:tc>
          <w:tcPr>
            <w:tcW w:w="1520" w:type="dxa"/>
            <w:shd w:val="clear" w:color="auto" w:fill="E7E6E6"/>
            <w:noWrap/>
            <w:vAlign w:val="center"/>
            <w:hideMark/>
          </w:tcPr>
          <w:p w14:paraId="5CD74715"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 </w:t>
            </w:r>
          </w:p>
        </w:tc>
      </w:tr>
      <w:tr w:rsidR="00FE37DB" w:rsidRPr="00A20A17" w14:paraId="2D5A5553" w14:textId="77777777" w:rsidTr="00A80B48">
        <w:trPr>
          <w:trHeight w:val="300"/>
        </w:trPr>
        <w:tc>
          <w:tcPr>
            <w:tcW w:w="0" w:type="auto"/>
            <w:hideMark/>
          </w:tcPr>
          <w:p w14:paraId="1FBE124D" w14:textId="77777777" w:rsidR="00FE37DB" w:rsidRPr="00A20A17" w:rsidRDefault="00FE37DB" w:rsidP="00A80B48">
            <w:pPr>
              <w:spacing w:after="0" w:line="240" w:lineRule="auto"/>
              <w:rPr>
                <w:rFonts w:ascii="Calibri" w:hAnsi="Calibri" w:cs="Calibri"/>
                <w:color w:val="000000"/>
                <w:lang w:eastAsia="en-GB"/>
              </w:rPr>
            </w:pPr>
            <w:r w:rsidRPr="00A20A17">
              <w:rPr>
                <w:rFonts w:ascii="Calibri" w:hAnsi="Calibri" w:cs="Calibri"/>
                <w:color w:val="000000"/>
                <w:lang w:eastAsia="en-GB"/>
              </w:rPr>
              <w:t>Year 1: number of appointments (&amp; lipid tests)</w:t>
            </w:r>
          </w:p>
        </w:tc>
        <w:tc>
          <w:tcPr>
            <w:tcW w:w="0" w:type="auto"/>
          </w:tcPr>
          <w:p w14:paraId="59D0C49A"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2.0</w:t>
            </w:r>
          </w:p>
        </w:tc>
        <w:tc>
          <w:tcPr>
            <w:tcW w:w="1520" w:type="dxa"/>
            <w:noWrap/>
            <w:vAlign w:val="center"/>
          </w:tcPr>
          <w:p w14:paraId="39131D5D"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£498</w:t>
            </w:r>
          </w:p>
        </w:tc>
      </w:tr>
      <w:tr w:rsidR="00FE37DB" w:rsidRPr="00A20A17" w14:paraId="10F14C7B" w14:textId="77777777" w:rsidTr="00A80B48">
        <w:trPr>
          <w:trHeight w:val="300"/>
        </w:trPr>
        <w:tc>
          <w:tcPr>
            <w:tcW w:w="0" w:type="auto"/>
            <w:hideMark/>
          </w:tcPr>
          <w:p w14:paraId="7D881123" w14:textId="77777777" w:rsidR="00FE37DB" w:rsidRPr="00A20A17" w:rsidRDefault="00FE37DB" w:rsidP="00A80B48">
            <w:pPr>
              <w:spacing w:after="0" w:line="240" w:lineRule="auto"/>
              <w:rPr>
                <w:rFonts w:ascii="Calibri" w:hAnsi="Calibri" w:cs="Calibri"/>
                <w:color w:val="000000"/>
                <w:lang w:eastAsia="en-GB"/>
              </w:rPr>
            </w:pPr>
            <w:r w:rsidRPr="00A20A17">
              <w:rPr>
                <w:rFonts w:ascii="Calibri" w:hAnsi="Calibri" w:cs="Calibri"/>
                <w:color w:val="000000"/>
                <w:lang w:eastAsia="en-GB"/>
              </w:rPr>
              <w:t>Year 2: number of appointments (&amp; lipid tests)</w:t>
            </w:r>
          </w:p>
        </w:tc>
        <w:tc>
          <w:tcPr>
            <w:tcW w:w="0" w:type="auto"/>
          </w:tcPr>
          <w:p w14:paraId="68067090"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1.0</w:t>
            </w:r>
          </w:p>
        </w:tc>
        <w:tc>
          <w:tcPr>
            <w:tcW w:w="1520" w:type="dxa"/>
            <w:noWrap/>
            <w:vAlign w:val="center"/>
          </w:tcPr>
          <w:p w14:paraId="5A192019"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£224</w:t>
            </w:r>
          </w:p>
        </w:tc>
      </w:tr>
    </w:tbl>
    <w:p w14:paraId="140FC5A8" w14:textId="77777777" w:rsidR="00FE37DB" w:rsidRPr="00A20A17" w:rsidRDefault="00FE37DB" w:rsidP="00FE37DB">
      <w:pPr>
        <w:keepNext/>
        <w:spacing w:before="120"/>
        <w:rPr>
          <w:rFonts w:ascii="Calibri" w:eastAsia="Calibri" w:hAnsi="Calibri" w:cs="Arial"/>
          <w:i/>
          <w:iCs/>
          <w:color w:val="44546A"/>
          <w:sz w:val="18"/>
          <w:szCs w:val="18"/>
        </w:rPr>
      </w:pPr>
    </w:p>
    <w:p w14:paraId="3C1E6FA2" w14:textId="77777777" w:rsidR="00FE37DB" w:rsidRPr="00A20A17" w:rsidRDefault="00FE37DB" w:rsidP="00FE37DB">
      <w:pPr>
        <w:keepNext/>
        <w:spacing w:before="120"/>
        <w:rPr>
          <w:rFonts w:ascii="Calibri" w:eastAsia="Calibri" w:hAnsi="Calibri" w:cs="Arial"/>
          <w:i/>
          <w:iCs/>
          <w:color w:val="44546A"/>
          <w:sz w:val="18"/>
          <w:szCs w:val="18"/>
        </w:rPr>
      </w:pPr>
      <w:r w:rsidRPr="00A20A17">
        <w:rPr>
          <w:rFonts w:ascii="Calibri" w:eastAsia="Calibri" w:hAnsi="Calibri" w:cs="Arial"/>
          <w:i/>
          <w:iCs/>
          <w:color w:val="44546A"/>
          <w:sz w:val="18"/>
          <w:szCs w:val="18"/>
        </w:rPr>
        <w:t xml:space="preserve">Table </w:t>
      </w:r>
      <w:r w:rsidRPr="00A20A17">
        <w:rPr>
          <w:rFonts w:ascii="Calibri" w:eastAsia="Calibri" w:hAnsi="Calibri" w:cs="Arial"/>
          <w:i/>
          <w:iCs/>
          <w:color w:val="44546A"/>
          <w:sz w:val="18"/>
          <w:szCs w:val="18"/>
        </w:rPr>
        <w:fldChar w:fldCharType="begin"/>
      </w:r>
      <w:r w:rsidRPr="00A20A17">
        <w:rPr>
          <w:rFonts w:ascii="Calibri" w:eastAsia="Calibri" w:hAnsi="Calibri" w:cs="Arial"/>
          <w:i/>
          <w:iCs/>
          <w:color w:val="44546A"/>
          <w:sz w:val="18"/>
          <w:szCs w:val="18"/>
        </w:rPr>
        <w:instrText xml:space="preserve"> SEQ Table \* ARABIC </w:instrText>
      </w:r>
      <w:r w:rsidRPr="00A20A17">
        <w:rPr>
          <w:rFonts w:ascii="Calibri" w:eastAsia="Calibri" w:hAnsi="Calibri" w:cs="Arial"/>
          <w:i/>
          <w:iCs/>
          <w:color w:val="44546A"/>
          <w:sz w:val="18"/>
          <w:szCs w:val="18"/>
        </w:rPr>
        <w:fldChar w:fldCharType="separate"/>
      </w:r>
      <w:r w:rsidRPr="00A20A17">
        <w:rPr>
          <w:rFonts w:ascii="Calibri" w:eastAsia="Calibri" w:hAnsi="Calibri" w:cs="Arial"/>
          <w:i/>
          <w:iCs/>
          <w:noProof/>
          <w:color w:val="44546A"/>
          <w:sz w:val="18"/>
          <w:szCs w:val="18"/>
        </w:rPr>
        <w:t>22</w:t>
      </w:r>
      <w:r w:rsidRPr="00A20A17">
        <w:rPr>
          <w:rFonts w:ascii="Calibri" w:eastAsia="Calibri" w:hAnsi="Calibri" w:cs="Arial"/>
          <w:i/>
          <w:iCs/>
          <w:color w:val="44546A"/>
          <w:sz w:val="18"/>
          <w:szCs w:val="18"/>
        </w:rPr>
        <w:fldChar w:fldCharType="end"/>
      </w:r>
      <w:r w:rsidRPr="00A20A17">
        <w:rPr>
          <w:rFonts w:ascii="Calibri" w:eastAsia="Calibri" w:hAnsi="Calibri" w:cs="Arial"/>
          <w:i/>
          <w:iCs/>
          <w:color w:val="44546A"/>
          <w:sz w:val="18"/>
          <w:szCs w:val="18"/>
        </w:rPr>
        <w:t>: Model inputs for scenario 25: high-intensity monitoring</w:t>
      </w:r>
    </w:p>
    <w:tbl>
      <w:tblPr>
        <w:tblStyle w:val="TableGrid23"/>
        <w:tblW w:w="0" w:type="auto"/>
        <w:tblLook w:val="04A0" w:firstRow="1" w:lastRow="0" w:firstColumn="1" w:lastColumn="0" w:noHBand="0" w:noVBand="1"/>
      </w:tblPr>
      <w:tblGrid>
        <w:gridCol w:w="4866"/>
        <w:gridCol w:w="2114"/>
        <w:gridCol w:w="1520"/>
      </w:tblGrid>
      <w:tr w:rsidR="00FE37DB" w:rsidRPr="00A20A17" w14:paraId="70653FAE" w14:textId="77777777" w:rsidTr="00A80B48">
        <w:trPr>
          <w:trHeight w:val="300"/>
        </w:trPr>
        <w:tc>
          <w:tcPr>
            <w:tcW w:w="0" w:type="auto"/>
            <w:hideMark/>
          </w:tcPr>
          <w:p w14:paraId="76AD7D21" w14:textId="77777777" w:rsidR="00FE37DB" w:rsidRPr="00A20A17" w:rsidRDefault="00FE37DB" w:rsidP="00A80B48">
            <w:pPr>
              <w:spacing w:after="0" w:line="240" w:lineRule="auto"/>
              <w:rPr>
                <w:rFonts w:ascii="Calibri" w:hAnsi="Calibri" w:cs="Calibri"/>
                <w:b/>
                <w:bCs/>
                <w:color w:val="000000"/>
                <w:lang w:eastAsia="en-GB"/>
              </w:rPr>
            </w:pPr>
            <w:r w:rsidRPr="00A20A17">
              <w:rPr>
                <w:rFonts w:ascii="Calibri" w:hAnsi="Calibri" w:cs="Calibri"/>
                <w:b/>
                <w:bCs/>
                <w:color w:val="000000"/>
                <w:lang w:eastAsia="en-GB"/>
              </w:rPr>
              <w:t>Individual group</w:t>
            </w:r>
          </w:p>
        </w:tc>
        <w:tc>
          <w:tcPr>
            <w:tcW w:w="0" w:type="auto"/>
          </w:tcPr>
          <w:p w14:paraId="78A64EAD" w14:textId="77777777" w:rsidR="00FE37DB" w:rsidRPr="00A20A17" w:rsidRDefault="00FE37DB" w:rsidP="00A80B48">
            <w:pPr>
              <w:spacing w:after="0" w:line="240" w:lineRule="auto"/>
              <w:jc w:val="center"/>
              <w:rPr>
                <w:rFonts w:ascii="Calibri" w:hAnsi="Calibri" w:cs="Calibri"/>
                <w:b/>
                <w:bCs/>
                <w:color w:val="000000"/>
                <w:lang w:eastAsia="en-GB"/>
              </w:rPr>
            </w:pPr>
            <w:r w:rsidRPr="00A20A17">
              <w:rPr>
                <w:rFonts w:ascii="Calibri" w:hAnsi="Calibri" w:cs="Calibri"/>
                <w:b/>
                <w:bCs/>
                <w:color w:val="000000"/>
                <w:lang w:eastAsia="en-GB"/>
              </w:rPr>
              <w:t>Number of appointments</w:t>
            </w:r>
          </w:p>
        </w:tc>
        <w:tc>
          <w:tcPr>
            <w:tcW w:w="1520" w:type="dxa"/>
            <w:noWrap/>
            <w:hideMark/>
          </w:tcPr>
          <w:p w14:paraId="1F252E13" w14:textId="77777777" w:rsidR="00FE37DB" w:rsidRPr="00A20A17" w:rsidRDefault="00FE37DB" w:rsidP="00A80B48">
            <w:pPr>
              <w:spacing w:after="0" w:line="240" w:lineRule="auto"/>
              <w:jc w:val="center"/>
              <w:rPr>
                <w:rFonts w:ascii="Calibri" w:hAnsi="Calibri" w:cs="Calibri"/>
                <w:b/>
                <w:bCs/>
                <w:color w:val="000000"/>
                <w:lang w:eastAsia="en-GB"/>
              </w:rPr>
            </w:pPr>
            <w:r w:rsidRPr="00A20A17">
              <w:rPr>
                <w:rFonts w:ascii="Calibri" w:hAnsi="Calibri" w:cs="Calibri"/>
                <w:b/>
                <w:bCs/>
                <w:color w:val="000000"/>
                <w:lang w:eastAsia="en-GB"/>
              </w:rPr>
              <w:t>Cost</w:t>
            </w:r>
          </w:p>
        </w:tc>
      </w:tr>
      <w:tr w:rsidR="00FE37DB" w:rsidRPr="00A20A17" w14:paraId="2345F142" w14:textId="77777777" w:rsidTr="00A80B48">
        <w:trPr>
          <w:trHeight w:val="300"/>
        </w:trPr>
        <w:tc>
          <w:tcPr>
            <w:tcW w:w="0" w:type="auto"/>
            <w:shd w:val="clear" w:color="auto" w:fill="E7E6E6"/>
            <w:hideMark/>
          </w:tcPr>
          <w:p w14:paraId="7748D990" w14:textId="77777777" w:rsidR="00FE37DB" w:rsidRPr="00A20A17" w:rsidRDefault="00FE37DB" w:rsidP="00A80B48">
            <w:pPr>
              <w:spacing w:after="0" w:line="240" w:lineRule="auto"/>
              <w:rPr>
                <w:rFonts w:ascii="Calibri" w:hAnsi="Calibri" w:cs="Calibri"/>
                <w:color w:val="000000"/>
                <w:lang w:eastAsia="en-GB"/>
              </w:rPr>
            </w:pPr>
            <w:r w:rsidRPr="00A20A17">
              <w:rPr>
                <w:rFonts w:ascii="Calibri" w:hAnsi="Calibri" w:cs="Calibri"/>
                <w:color w:val="000000"/>
                <w:lang w:eastAsia="en-GB"/>
              </w:rPr>
              <w:t>Adults</w:t>
            </w:r>
          </w:p>
        </w:tc>
        <w:tc>
          <w:tcPr>
            <w:tcW w:w="0" w:type="auto"/>
            <w:shd w:val="clear" w:color="auto" w:fill="E7E6E6"/>
          </w:tcPr>
          <w:p w14:paraId="40CF641F" w14:textId="77777777" w:rsidR="00FE37DB" w:rsidRPr="00A20A17" w:rsidRDefault="00FE37DB" w:rsidP="00A80B48">
            <w:pPr>
              <w:spacing w:after="0" w:line="240" w:lineRule="auto"/>
              <w:rPr>
                <w:rFonts w:ascii="Calibri" w:hAnsi="Calibri" w:cs="Calibri"/>
                <w:color w:val="000000"/>
                <w:lang w:eastAsia="en-GB"/>
              </w:rPr>
            </w:pPr>
          </w:p>
        </w:tc>
        <w:tc>
          <w:tcPr>
            <w:tcW w:w="1520" w:type="dxa"/>
            <w:shd w:val="clear" w:color="auto" w:fill="E7E6E6"/>
            <w:noWrap/>
            <w:hideMark/>
          </w:tcPr>
          <w:p w14:paraId="6F40C802" w14:textId="77777777" w:rsidR="00FE37DB" w:rsidRPr="00A20A17" w:rsidRDefault="00FE37DB" w:rsidP="00A80B48">
            <w:pPr>
              <w:spacing w:after="0" w:line="240" w:lineRule="auto"/>
              <w:rPr>
                <w:rFonts w:ascii="Calibri" w:hAnsi="Calibri" w:cs="Calibri"/>
                <w:color w:val="000000"/>
                <w:lang w:eastAsia="en-GB"/>
              </w:rPr>
            </w:pPr>
            <w:r w:rsidRPr="00A20A17">
              <w:rPr>
                <w:rFonts w:ascii="Calibri" w:hAnsi="Calibri" w:cs="Calibri"/>
                <w:color w:val="000000"/>
                <w:lang w:eastAsia="en-GB"/>
              </w:rPr>
              <w:t> </w:t>
            </w:r>
          </w:p>
        </w:tc>
      </w:tr>
      <w:tr w:rsidR="00FE37DB" w:rsidRPr="00A20A17" w14:paraId="388C6E67" w14:textId="77777777" w:rsidTr="00A80B48">
        <w:trPr>
          <w:trHeight w:val="300"/>
        </w:trPr>
        <w:tc>
          <w:tcPr>
            <w:tcW w:w="0" w:type="auto"/>
            <w:hideMark/>
          </w:tcPr>
          <w:p w14:paraId="4D45469E" w14:textId="77777777" w:rsidR="00FE37DB" w:rsidRPr="00A20A17" w:rsidRDefault="00FE37DB" w:rsidP="00A80B48">
            <w:pPr>
              <w:spacing w:after="0" w:line="240" w:lineRule="auto"/>
              <w:rPr>
                <w:rFonts w:ascii="Calibri" w:hAnsi="Calibri" w:cs="Calibri"/>
                <w:color w:val="000000"/>
                <w:lang w:eastAsia="en-GB"/>
              </w:rPr>
            </w:pPr>
            <w:r w:rsidRPr="00A20A17">
              <w:rPr>
                <w:rFonts w:ascii="Calibri" w:hAnsi="Calibri" w:cs="Calibri"/>
                <w:color w:val="000000"/>
                <w:lang w:eastAsia="en-GB"/>
              </w:rPr>
              <w:t>Primary care Year 1: number of appointments (&amp; lipid tests)</w:t>
            </w:r>
          </w:p>
        </w:tc>
        <w:tc>
          <w:tcPr>
            <w:tcW w:w="0" w:type="auto"/>
          </w:tcPr>
          <w:p w14:paraId="75B30CD6"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3.0</w:t>
            </w:r>
          </w:p>
        </w:tc>
        <w:tc>
          <w:tcPr>
            <w:tcW w:w="1520" w:type="dxa"/>
            <w:noWrap/>
            <w:vAlign w:val="center"/>
          </w:tcPr>
          <w:p w14:paraId="71006E17"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£137</w:t>
            </w:r>
          </w:p>
        </w:tc>
      </w:tr>
      <w:tr w:rsidR="00FE37DB" w:rsidRPr="00A20A17" w14:paraId="12B5236E" w14:textId="77777777" w:rsidTr="00A80B48">
        <w:trPr>
          <w:trHeight w:val="300"/>
        </w:trPr>
        <w:tc>
          <w:tcPr>
            <w:tcW w:w="0" w:type="auto"/>
            <w:hideMark/>
          </w:tcPr>
          <w:p w14:paraId="7E743D9B" w14:textId="77777777" w:rsidR="00FE37DB" w:rsidRPr="00A20A17" w:rsidRDefault="00FE37DB" w:rsidP="00A80B48">
            <w:pPr>
              <w:spacing w:after="0" w:line="240" w:lineRule="auto"/>
              <w:rPr>
                <w:rFonts w:ascii="Calibri" w:hAnsi="Calibri" w:cs="Calibri"/>
                <w:color w:val="000000"/>
                <w:lang w:eastAsia="en-GB"/>
              </w:rPr>
            </w:pPr>
            <w:r w:rsidRPr="00A20A17">
              <w:rPr>
                <w:rFonts w:ascii="Calibri" w:hAnsi="Calibri" w:cs="Calibri"/>
                <w:color w:val="000000"/>
                <w:lang w:eastAsia="en-GB"/>
              </w:rPr>
              <w:t>Primary care Year 2+: number of appointments (&amp; lipid tests)</w:t>
            </w:r>
          </w:p>
        </w:tc>
        <w:tc>
          <w:tcPr>
            <w:tcW w:w="0" w:type="auto"/>
          </w:tcPr>
          <w:p w14:paraId="4C6C5B7E"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1.2</w:t>
            </w:r>
          </w:p>
        </w:tc>
        <w:tc>
          <w:tcPr>
            <w:tcW w:w="1520" w:type="dxa"/>
            <w:noWrap/>
            <w:vAlign w:val="center"/>
          </w:tcPr>
          <w:p w14:paraId="73FED819"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£42</w:t>
            </w:r>
          </w:p>
        </w:tc>
      </w:tr>
      <w:tr w:rsidR="00FE37DB" w:rsidRPr="00A20A17" w14:paraId="5F3E7FEA" w14:textId="77777777" w:rsidTr="00A80B48">
        <w:trPr>
          <w:trHeight w:val="300"/>
        </w:trPr>
        <w:tc>
          <w:tcPr>
            <w:tcW w:w="0" w:type="auto"/>
            <w:hideMark/>
          </w:tcPr>
          <w:p w14:paraId="4A1CFF9D" w14:textId="77777777" w:rsidR="00FE37DB" w:rsidRPr="00A20A17" w:rsidRDefault="00FE37DB" w:rsidP="00A80B48">
            <w:pPr>
              <w:spacing w:after="0" w:line="240" w:lineRule="auto"/>
              <w:rPr>
                <w:rFonts w:ascii="Calibri" w:hAnsi="Calibri" w:cs="Calibri"/>
                <w:color w:val="000000"/>
                <w:lang w:eastAsia="en-GB"/>
              </w:rPr>
            </w:pPr>
            <w:r w:rsidRPr="00A20A17">
              <w:rPr>
                <w:rFonts w:ascii="Calibri" w:hAnsi="Calibri" w:cs="Calibri"/>
                <w:color w:val="000000"/>
                <w:lang w:eastAsia="en-GB"/>
              </w:rPr>
              <w:t>Secondary care Year 1: number of appointments (&amp; lipid tests)</w:t>
            </w:r>
          </w:p>
        </w:tc>
        <w:tc>
          <w:tcPr>
            <w:tcW w:w="0" w:type="auto"/>
          </w:tcPr>
          <w:p w14:paraId="5586FCE8"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3.0</w:t>
            </w:r>
          </w:p>
        </w:tc>
        <w:tc>
          <w:tcPr>
            <w:tcW w:w="1520" w:type="dxa"/>
            <w:noWrap/>
            <w:vAlign w:val="center"/>
          </w:tcPr>
          <w:p w14:paraId="36A12613"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£556</w:t>
            </w:r>
          </w:p>
        </w:tc>
      </w:tr>
      <w:tr w:rsidR="00FE37DB" w:rsidRPr="00A20A17" w14:paraId="06045A80" w14:textId="77777777" w:rsidTr="00A80B48">
        <w:trPr>
          <w:trHeight w:val="300"/>
        </w:trPr>
        <w:tc>
          <w:tcPr>
            <w:tcW w:w="0" w:type="auto"/>
            <w:hideMark/>
          </w:tcPr>
          <w:p w14:paraId="7BBE2C1D" w14:textId="77777777" w:rsidR="00FE37DB" w:rsidRPr="00A20A17" w:rsidRDefault="00FE37DB" w:rsidP="00A80B48">
            <w:pPr>
              <w:spacing w:after="0" w:line="240" w:lineRule="auto"/>
              <w:rPr>
                <w:rFonts w:ascii="Calibri" w:hAnsi="Calibri" w:cs="Calibri"/>
                <w:color w:val="000000"/>
                <w:lang w:eastAsia="en-GB"/>
              </w:rPr>
            </w:pPr>
            <w:r w:rsidRPr="00A20A17">
              <w:rPr>
                <w:rFonts w:ascii="Calibri" w:hAnsi="Calibri" w:cs="Calibri"/>
                <w:color w:val="000000"/>
                <w:lang w:eastAsia="en-GB"/>
              </w:rPr>
              <w:t>Secondary care Year 2+: number of appointments (&amp; lipid tests)</w:t>
            </w:r>
          </w:p>
        </w:tc>
        <w:tc>
          <w:tcPr>
            <w:tcW w:w="0" w:type="auto"/>
          </w:tcPr>
          <w:p w14:paraId="49AF5B42"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1.2</w:t>
            </w:r>
          </w:p>
        </w:tc>
        <w:tc>
          <w:tcPr>
            <w:tcW w:w="1520" w:type="dxa"/>
            <w:noWrap/>
            <w:vAlign w:val="center"/>
          </w:tcPr>
          <w:p w14:paraId="674CBD3A"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£204</w:t>
            </w:r>
          </w:p>
        </w:tc>
      </w:tr>
      <w:tr w:rsidR="00FE37DB" w:rsidRPr="00A20A17" w14:paraId="59D6B1F4" w14:textId="77777777" w:rsidTr="00A80B48">
        <w:trPr>
          <w:trHeight w:val="300"/>
        </w:trPr>
        <w:tc>
          <w:tcPr>
            <w:tcW w:w="0" w:type="auto"/>
            <w:shd w:val="clear" w:color="auto" w:fill="E7E6E6"/>
            <w:hideMark/>
          </w:tcPr>
          <w:p w14:paraId="7010A0B6" w14:textId="77777777" w:rsidR="00FE37DB" w:rsidRPr="00A20A17" w:rsidRDefault="00FE37DB" w:rsidP="00A80B48">
            <w:pPr>
              <w:spacing w:after="0" w:line="240" w:lineRule="auto"/>
              <w:rPr>
                <w:rFonts w:ascii="Calibri" w:hAnsi="Calibri" w:cs="Calibri"/>
                <w:color w:val="000000"/>
                <w:lang w:eastAsia="en-GB"/>
              </w:rPr>
            </w:pPr>
            <w:r w:rsidRPr="00A20A17">
              <w:rPr>
                <w:rFonts w:ascii="Calibri" w:hAnsi="Calibri" w:cs="Calibri"/>
                <w:color w:val="000000"/>
                <w:lang w:eastAsia="en-GB"/>
              </w:rPr>
              <w:t>Children and adolescents: not treated post diagnosis</w:t>
            </w:r>
          </w:p>
        </w:tc>
        <w:tc>
          <w:tcPr>
            <w:tcW w:w="0" w:type="auto"/>
            <w:shd w:val="clear" w:color="auto" w:fill="E7E6E6"/>
          </w:tcPr>
          <w:p w14:paraId="48F25982" w14:textId="77777777" w:rsidR="00FE37DB" w:rsidRPr="00A20A17" w:rsidRDefault="00FE37DB" w:rsidP="00A80B48">
            <w:pPr>
              <w:spacing w:after="0" w:line="240" w:lineRule="auto"/>
              <w:jc w:val="right"/>
              <w:rPr>
                <w:rFonts w:ascii="Calibri" w:hAnsi="Calibri" w:cs="Calibri"/>
                <w:color w:val="000000"/>
                <w:lang w:eastAsia="en-GB"/>
              </w:rPr>
            </w:pPr>
          </w:p>
        </w:tc>
        <w:tc>
          <w:tcPr>
            <w:tcW w:w="1520" w:type="dxa"/>
            <w:shd w:val="clear" w:color="auto" w:fill="E7E6E6"/>
            <w:noWrap/>
            <w:vAlign w:val="center"/>
            <w:hideMark/>
          </w:tcPr>
          <w:p w14:paraId="14609F94"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 </w:t>
            </w:r>
          </w:p>
        </w:tc>
      </w:tr>
      <w:tr w:rsidR="00FE37DB" w:rsidRPr="00A20A17" w14:paraId="085F4BEB" w14:textId="77777777" w:rsidTr="00A80B48">
        <w:trPr>
          <w:trHeight w:val="300"/>
        </w:trPr>
        <w:tc>
          <w:tcPr>
            <w:tcW w:w="0" w:type="auto"/>
            <w:hideMark/>
          </w:tcPr>
          <w:p w14:paraId="1C75B888" w14:textId="77777777" w:rsidR="00FE37DB" w:rsidRPr="00A20A17" w:rsidRDefault="00FE37DB" w:rsidP="00A80B48">
            <w:pPr>
              <w:spacing w:after="0" w:line="240" w:lineRule="auto"/>
              <w:rPr>
                <w:rFonts w:ascii="Calibri" w:hAnsi="Calibri" w:cs="Calibri"/>
                <w:color w:val="000000"/>
                <w:lang w:eastAsia="en-GB"/>
              </w:rPr>
            </w:pPr>
            <w:r w:rsidRPr="00A20A17">
              <w:rPr>
                <w:rFonts w:ascii="Calibri" w:hAnsi="Calibri" w:cs="Calibri"/>
                <w:color w:val="000000"/>
                <w:lang w:eastAsia="en-GB"/>
              </w:rPr>
              <w:t>Year 1: number of appointments (&amp; lipid tests)</w:t>
            </w:r>
          </w:p>
        </w:tc>
        <w:tc>
          <w:tcPr>
            <w:tcW w:w="0" w:type="auto"/>
          </w:tcPr>
          <w:p w14:paraId="6B34F98B"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1.0</w:t>
            </w:r>
          </w:p>
        </w:tc>
        <w:tc>
          <w:tcPr>
            <w:tcW w:w="1520" w:type="dxa"/>
            <w:noWrap/>
            <w:vAlign w:val="center"/>
          </w:tcPr>
          <w:p w14:paraId="6A5635EA"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£272</w:t>
            </w:r>
          </w:p>
        </w:tc>
      </w:tr>
      <w:tr w:rsidR="00FE37DB" w:rsidRPr="00A20A17" w14:paraId="15337BCB" w14:textId="77777777" w:rsidTr="00A80B48">
        <w:trPr>
          <w:trHeight w:val="300"/>
        </w:trPr>
        <w:tc>
          <w:tcPr>
            <w:tcW w:w="0" w:type="auto"/>
            <w:hideMark/>
          </w:tcPr>
          <w:p w14:paraId="4AF03E27" w14:textId="77777777" w:rsidR="00FE37DB" w:rsidRPr="00A20A17" w:rsidRDefault="00FE37DB" w:rsidP="00A80B48">
            <w:pPr>
              <w:spacing w:after="0" w:line="240" w:lineRule="auto"/>
              <w:rPr>
                <w:rFonts w:ascii="Calibri" w:hAnsi="Calibri" w:cs="Calibri"/>
                <w:color w:val="000000"/>
                <w:lang w:eastAsia="en-GB"/>
              </w:rPr>
            </w:pPr>
            <w:r w:rsidRPr="00A20A17">
              <w:rPr>
                <w:rFonts w:ascii="Calibri" w:hAnsi="Calibri" w:cs="Calibri"/>
                <w:color w:val="000000"/>
                <w:lang w:eastAsia="en-GB"/>
              </w:rPr>
              <w:t>Year 2: number of appointments (&amp; lipid tests)</w:t>
            </w:r>
          </w:p>
        </w:tc>
        <w:tc>
          <w:tcPr>
            <w:tcW w:w="0" w:type="auto"/>
          </w:tcPr>
          <w:p w14:paraId="7D8D3874"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1.0</w:t>
            </w:r>
          </w:p>
        </w:tc>
        <w:tc>
          <w:tcPr>
            <w:tcW w:w="1520" w:type="dxa"/>
            <w:noWrap/>
            <w:vAlign w:val="center"/>
          </w:tcPr>
          <w:p w14:paraId="2DBBB5A0"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£224</w:t>
            </w:r>
          </w:p>
        </w:tc>
      </w:tr>
      <w:tr w:rsidR="00FE37DB" w:rsidRPr="00A20A17" w14:paraId="3FA8813D" w14:textId="77777777" w:rsidTr="00A80B48">
        <w:trPr>
          <w:trHeight w:val="300"/>
        </w:trPr>
        <w:tc>
          <w:tcPr>
            <w:tcW w:w="0" w:type="auto"/>
            <w:shd w:val="clear" w:color="auto" w:fill="E7E6E6"/>
            <w:hideMark/>
          </w:tcPr>
          <w:p w14:paraId="7320C4DA" w14:textId="77777777" w:rsidR="00FE37DB" w:rsidRPr="00A20A17" w:rsidRDefault="00FE37DB" w:rsidP="00A80B48">
            <w:pPr>
              <w:spacing w:after="0" w:line="240" w:lineRule="auto"/>
              <w:rPr>
                <w:rFonts w:ascii="Calibri" w:hAnsi="Calibri" w:cs="Calibri"/>
                <w:color w:val="000000"/>
                <w:lang w:eastAsia="en-GB"/>
              </w:rPr>
            </w:pPr>
            <w:r w:rsidRPr="00A20A17">
              <w:rPr>
                <w:rFonts w:ascii="Calibri" w:hAnsi="Calibri" w:cs="Calibri"/>
                <w:color w:val="000000"/>
                <w:lang w:eastAsia="en-GB"/>
              </w:rPr>
              <w:t>Children and adolescents: treated post diagnosis</w:t>
            </w:r>
          </w:p>
        </w:tc>
        <w:tc>
          <w:tcPr>
            <w:tcW w:w="0" w:type="auto"/>
            <w:shd w:val="clear" w:color="auto" w:fill="E7E6E6"/>
          </w:tcPr>
          <w:p w14:paraId="4B2CE28B" w14:textId="77777777" w:rsidR="00FE37DB" w:rsidRPr="00A20A17" w:rsidRDefault="00FE37DB" w:rsidP="00A80B48">
            <w:pPr>
              <w:spacing w:after="0" w:line="240" w:lineRule="auto"/>
              <w:jc w:val="right"/>
              <w:rPr>
                <w:rFonts w:ascii="Calibri" w:hAnsi="Calibri" w:cs="Calibri"/>
                <w:color w:val="000000"/>
                <w:lang w:eastAsia="en-GB"/>
              </w:rPr>
            </w:pPr>
          </w:p>
        </w:tc>
        <w:tc>
          <w:tcPr>
            <w:tcW w:w="1520" w:type="dxa"/>
            <w:shd w:val="clear" w:color="auto" w:fill="E7E6E6"/>
            <w:noWrap/>
            <w:vAlign w:val="center"/>
            <w:hideMark/>
          </w:tcPr>
          <w:p w14:paraId="13FBD85F"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 </w:t>
            </w:r>
          </w:p>
        </w:tc>
      </w:tr>
      <w:tr w:rsidR="00FE37DB" w:rsidRPr="00A20A17" w14:paraId="4A83829A" w14:textId="77777777" w:rsidTr="00A80B48">
        <w:trPr>
          <w:trHeight w:val="300"/>
        </w:trPr>
        <w:tc>
          <w:tcPr>
            <w:tcW w:w="0" w:type="auto"/>
            <w:hideMark/>
          </w:tcPr>
          <w:p w14:paraId="3E72DB00" w14:textId="77777777" w:rsidR="00FE37DB" w:rsidRPr="00A20A17" w:rsidRDefault="00FE37DB" w:rsidP="00A80B48">
            <w:pPr>
              <w:spacing w:after="0" w:line="240" w:lineRule="auto"/>
              <w:rPr>
                <w:rFonts w:ascii="Calibri" w:hAnsi="Calibri" w:cs="Calibri"/>
                <w:color w:val="000000"/>
                <w:lang w:eastAsia="en-GB"/>
              </w:rPr>
            </w:pPr>
            <w:r w:rsidRPr="00A20A17">
              <w:rPr>
                <w:rFonts w:ascii="Calibri" w:hAnsi="Calibri" w:cs="Calibri"/>
                <w:color w:val="000000"/>
                <w:lang w:eastAsia="en-GB"/>
              </w:rPr>
              <w:t>Year 1: number of appointments (&amp; lipid tests)</w:t>
            </w:r>
          </w:p>
        </w:tc>
        <w:tc>
          <w:tcPr>
            <w:tcW w:w="0" w:type="auto"/>
          </w:tcPr>
          <w:p w14:paraId="574860AC"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3.0</w:t>
            </w:r>
          </w:p>
        </w:tc>
        <w:tc>
          <w:tcPr>
            <w:tcW w:w="1520" w:type="dxa"/>
            <w:noWrap/>
            <w:vAlign w:val="center"/>
          </w:tcPr>
          <w:p w14:paraId="0EB17FE1"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£723</w:t>
            </w:r>
          </w:p>
        </w:tc>
      </w:tr>
      <w:tr w:rsidR="00FE37DB" w:rsidRPr="00A20A17" w14:paraId="6AF12467" w14:textId="77777777" w:rsidTr="00A80B48">
        <w:trPr>
          <w:trHeight w:val="300"/>
        </w:trPr>
        <w:tc>
          <w:tcPr>
            <w:tcW w:w="0" w:type="auto"/>
            <w:hideMark/>
          </w:tcPr>
          <w:p w14:paraId="323619B3" w14:textId="77777777" w:rsidR="00FE37DB" w:rsidRPr="00A20A17" w:rsidRDefault="00FE37DB" w:rsidP="00A80B48">
            <w:pPr>
              <w:spacing w:after="0" w:line="240" w:lineRule="auto"/>
              <w:rPr>
                <w:rFonts w:ascii="Calibri" w:hAnsi="Calibri" w:cs="Calibri"/>
                <w:color w:val="000000"/>
                <w:lang w:eastAsia="en-GB"/>
              </w:rPr>
            </w:pPr>
            <w:r w:rsidRPr="00A20A17">
              <w:rPr>
                <w:rFonts w:ascii="Calibri" w:hAnsi="Calibri" w:cs="Calibri"/>
                <w:color w:val="000000"/>
                <w:lang w:eastAsia="en-GB"/>
              </w:rPr>
              <w:t>Year 2: number of appointments (&amp; lipid tests)</w:t>
            </w:r>
          </w:p>
        </w:tc>
        <w:tc>
          <w:tcPr>
            <w:tcW w:w="0" w:type="auto"/>
          </w:tcPr>
          <w:p w14:paraId="6084B401"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2.0</w:t>
            </w:r>
          </w:p>
        </w:tc>
        <w:tc>
          <w:tcPr>
            <w:tcW w:w="1520" w:type="dxa"/>
            <w:noWrap/>
            <w:vAlign w:val="center"/>
          </w:tcPr>
          <w:p w14:paraId="5DFA6B3E" w14:textId="77777777" w:rsidR="00FE37DB" w:rsidRPr="00A20A17" w:rsidRDefault="00FE37DB" w:rsidP="00A80B48">
            <w:pPr>
              <w:spacing w:after="0" w:line="240" w:lineRule="auto"/>
              <w:jc w:val="right"/>
              <w:rPr>
                <w:rFonts w:ascii="Calibri" w:hAnsi="Calibri" w:cs="Calibri"/>
                <w:color w:val="000000"/>
                <w:lang w:eastAsia="en-GB"/>
              </w:rPr>
            </w:pPr>
            <w:r w:rsidRPr="00A20A17">
              <w:rPr>
                <w:rFonts w:ascii="Calibri" w:hAnsi="Calibri" w:cs="Calibri"/>
                <w:color w:val="000000"/>
                <w:lang w:eastAsia="en-GB"/>
              </w:rPr>
              <w:t>£448</w:t>
            </w:r>
          </w:p>
        </w:tc>
      </w:tr>
    </w:tbl>
    <w:p w14:paraId="400E7F6D" w14:textId="77777777" w:rsidR="00FE37DB" w:rsidRPr="00A20A17" w:rsidRDefault="00FE37DB" w:rsidP="00FE37DB">
      <w:pPr>
        <w:spacing w:before="120" w:after="120"/>
        <w:rPr>
          <w:rFonts w:ascii="Calibri" w:eastAsia="Calibri" w:hAnsi="Calibri" w:cs="Arial"/>
        </w:rPr>
      </w:pPr>
    </w:p>
    <w:p w14:paraId="073B43C1" w14:textId="77777777" w:rsidR="00FE37DB" w:rsidRPr="00A20A17" w:rsidRDefault="00FE37DB" w:rsidP="00FE37DB">
      <w:pPr>
        <w:keepNext/>
        <w:spacing w:before="120"/>
        <w:rPr>
          <w:rFonts w:ascii="Calibri" w:eastAsia="Calibri" w:hAnsi="Calibri" w:cs="Arial"/>
          <w:i/>
          <w:iCs/>
          <w:color w:val="44546A"/>
          <w:sz w:val="18"/>
          <w:szCs w:val="18"/>
        </w:rPr>
      </w:pPr>
      <w:r w:rsidRPr="00A20A17">
        <w:rPr>
          <w:rFonts w:ascii="Calibri" w:eastAsia="Calibri" w:hAnsi="Calibri" w:cs="Arial"/>
          <w:i/>
          <w:iCs/>
          <w:color w:val="44546A"/>
          <w:sz w:val="18"/>
          <w:szCs w:val="18"/>
        </w:rPr>
        <w:t xml:space="preserve">Table </w:t>
      </w:r>
      <w:r w:rsidRPr="00A20A17">
        <w:rPr>
          <w:rFonts w:ascii="Calibri" w:eastAsia="Calibri" w:hAnsi="Calibri" w:cs="Arial"/>
          <w:i/>
          <w:iCs/>
          <w:color w:val="44546A"/>
          <w:sz w:val="18"/>
          <w:szCs w:val="18"/>
        </w:rPr>
        <w:fldChar w:fldCharType="begin"/>
      </w:r>
      <w:r w:rsidRPr="00A20A17">
        <w:rPr>
          <w:rFonts w:ascii="Calibri" w:eastAsia="Calibri" w:hAnsi="Calibri" w:cs="Arial"/>
          <w:i/>
          <w:iCs/>
          <w:color w:val="44546A"/>
          <w:sz w:val="18"/>
          <w:szCs w:val="18"/>
        </w:rPr>
        <w:instrText>SEQ Table \* ARABIC</w:instrText>
      </w:r>
      <w:r w:rsidRPr="00A20A17">
        <w:rPr>
          <w:rFonts w:ascii="Calibri" w:eastAsia="Calibri" w:hAnsi="Calibri" w:cs="Arial"/>
          <w:i/>
          <w:iCs/>
          <w:color w:val="44546A"/>
          <w:sz w:val="18"/>
          <w:szCs w:val="18"/>
        </w:rPr>
        <w:fldChar w:fldCharType="separate"/>
      </w:r>
      <w:r w:rsidRPr="00A20A17">
        <w:rPr>
          <w:rFonts w:ascii="Calibri" w:eastAsia="Calibri" w:hAnsi="Calibri" w:cs="Arial"/>
          <w:i/>
          <w:iCs/>
          <w:noProof/>
          <w:color w:val="44546A"/>
          <w:sz w:val="18"/>
          <w:szCs w:val="18"/>
        </w:rPr>
        <w:t>23</w:t>
      </w:r>
      <w:r w:rsidRPr="00A20A17">
        <w:rPr>
          <w:rFonts w:ascii="Calibri" w:eastAsia="Calibri" w:hAnsi="Calibri" w:cs="Arial"/>
          <w:i/>
          <w:iCs/>
          <w:color w:val="44546A"/>
          <w:sz w:val="18"/>
          <w:szCs w:val="18"/>
        </w:rPr>
        <w:fldChar w:fldCharType="end"/>
      </w:r>
      <w:r w:rsidRPr="00A20A17">
        <w:rPr>
          <w:rFonts w:ascii="Calibri" w:eastAsia="Calibri" w:hAnsi="Calibri" w:cs="Arial"/>
          <w:i/>
          <w:iCs/>
          <w:color w:val="44546A"/>
          <w:sz w:val="18"/>
          <w:szCs w:val="18"/>
        </w:rPr>
        <w:t>: Model inputs for scenario 27: costs obtained from the NICE CG181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16"/>
        <w:gridCol w:w="2184"/>
      </w:tblGrid>
      <w:tr w:rsidR="00FE37DB" w:rsidRPr="00A20A17" w14:paraId="7E9FF00B" w14:textId="77777777" w:rsidTr="00A80B48">
        <w:trPr>
          <w:trHeight w:val="278"/>
        </w:trPr>
        <w:tc>
          <w:tcPr>
            <w:tcW w:w="6516" w:type="dxa"/>
            <w:noWrap/>
            <w:hideMark/>
          </w:tcPr>
          <w:p w14:paraId="07A2FDB6" w14:textId="77777777" w:rsidR="00FE37DB" w:rsidRPr="00A20A17" w:rsidRDefault="00FE37DB" w:rsidP="00A80B48">
            <w:pPr>
              <w:spacing w:after="120"/>
              <w:rPr>
                <w:rFonts w:ascii="Calibri" w:eastAsia="Calibri" w:hAnsi="Calibri" w:cs="Arial"/>
                <w:b/>
                <w:bCs/>
                <w:sz w:val="18"/>
                <w:szCs w:val="18"/>
              </w:rPr>
            </w:pPr>
            <w:r w:rsidRPr="00A20A17">
              <w:rPr>
                <w:rFonts w:ascii="Calibri" w:eastAsia="Calibri" w:hAnsi="Calibri" w:cs="Arial"/>
                <w:b/>
                <w:bCs/>
                <w:sz w:val="18"/>
                <w:szCs w:val="18"/>
              </w:rPr>
              <w:t>Health state</w:t>
            </w:r>
          </w:p>
        </w:tc>
        <w:tc>
          <w:tcPr>
            <w:tcW w:w="2184" w:type="dxa"/>
            <w:noWrap/>
            <w:hideMark/>
          </w:tcPr>
          <w:p w14:paraId="12EBE43F" w14:textId="77777777" w:rsidR="00FE37DB" w:rsidRPr="00A20A17" w:rsidRDefault="00FE37DB" w:rsidP="00A80B48">
            <w:pPr>
              <w:spacing w:after="120"/>
              <w:rPr>
                <w:rFonts w:ascii="Calibri" w:eastAsia="Calibri" w:hAnsi="Calibri" w:cs="Arial"/>
                <w:b/>
                <w:bCs/>
                <w:sz w:val="18"/>
                <w:szCs w:val="18"/>
              </w:rPr>
            </w:pPr>
            <w:r w:rsidRPr="00A20A17">
              <w:rPr>
                <w:rFonts w:ascii="Calibri" w:eastAsia="Calibri" w:hAnsi="Calibri" w:cs="Arial"/>
                <w:b/>
                <w:bCs/>
                <w:sz w:val="18"/>
                <w:szCs w:val="18"/>
              </w:rPr>
              <w:t>Cost (per annum)</w:t>
            </w:r>
          </w:p>
        </w:tc>
      </w:tr>
      <w:tr w:rsidR="00FE37DB" w:rsidRPr="00A20A17" w14:paraId="6BE8D6C7" w14:textId="77777777" w:rsidTr="00A80B48">
        <w:trPr>
          <w:trHeight w:val="278"/>
        </w:trPr>
        <w:tc>
          <w:tcPr>
            <w:tcW w:w="6516" w:type="dxa"/>
            <w:noWrap/>
            <w:vAlign w:val="center"/>
          </w:tcPr>
          <w:p w14:paraId="58C8C7D0" w14:textId="77777777" w:rsidR="00FE37DB" w:rsidRPr="00A20A17" w:rsidRDefault="00FE37DB" w:rsidP="00A80B48">
            <w:pPr>
              <w:spacing w:after="120"/>
              <w:rPr>
                <w:rFonts w:ascii="Calibri" w:eastAsia="Calibri" w:hAnsi="Calibri" w:cs="Arial"/>
                <w:sz w:val="18"/>
                <w:szCs w:val="18"/>
              </w:rPr>
            </w:pPr>
            <w:r w:rsidRPr="00A20A17">
              <w:rPr>
                <w:rFonts w:ascii="Calibri" w:eastAsia="Calibri" w:hAnsi="Calibri" w:cs="Arial"/>
                <w:sz w:val="18"/>
                <w:szCs w:val="18"/>
              </w:rPr>
              <w:t>Non-fatal ACS year 1</w:t>
            </w:r>
          </w:p>
        </w:tc>
        <w:tc>
          <w:tcPr>
            <w:tcW w:w="2184" w:type="dxa"/>
            <w:noWrap/>
          </w:tcPr>
          <w:p w14:paraId="29A64D1B" w14:textId="77777777" w:rsidR="00FE37DB" w:rsidRPr="00A20A17" w:rsidRDefault="00FE37DB" w:rsidP="00A80B48">
            <w:pPr>
              <w:spacing w:after="120"/>
              <w:jc w:val="right"/>
              <w:rPr>
                <w:rFonts w:ascii="Calibri" w:eastAsia="Calibri" w:hAnsi="Calibri" w:cs="Arial"/>
                <w:sz w:val="18"/>
                <w:szCs w:val="18"/>
              </w:rPr>
            </w:pPr>
            <w:r w:rsidRPr="00A20A17">
              <w:rPr>
                <w:rFonts w:ascii="Calibri" w:eastAsia="Calibri" w:hAnsi="Calibri" w:cs="Calibri"/>
                <w:sz w:val="18"/>
                <w:szCs w:val="18"/>
              </w:rPr>
              <w:t>£3791</w:t>
            </w:r>
          </w:p>
        </w:tc>
      </w:tr>
      <w:tr w:rsidR="00FE37DB" w:rsidRPr="00A20A17" w14:paraId="50333F6C" w14:textId="77777777" w:rsidTr="00A80B48">
        <w:trPr>
          <w:trHeight w:val="278"/>
        </w:trPr>
        <w:tc>
          <w:tcPr>
            <w:tcW w:w="6516" w:type="dxa"/>
            <w:noWrap/>
            <w:vAlign w:val="center"/>
          </w:tcPr>
          <w:p w14:paraId="5E84858E" w14:textId="77777777" w:rsidR="00FE37DB" w:rsidRPr="00A20A17" w:rsidRDefault="00FE37DB" w:rsidP="00A80B48">
            <w:pPr>
              <w:spacing w:after="120"/>
              <w:rPr>
                <w:rFonts w:ascii="Calibri" w:eastAsia="Calibri" w:hAnsi="Calibri" w:cs="Arial"/>
                <w:sz w:val="18"/>
                <w:szCs w:val="18"/>
              </w:rPr>
            </w:pPr>
            <w:r w:rsidRPr="00A20A17">
              <w:rPr>
                <w:rFonts w:ascii="Calibri" w:eastAsia="Calibri" w:hAnsi="Calibri" w:cs="Arial"/>
                <w:sz w:val="18"/>
                <w:szCs w:val="18"/>
              </w:rPr>
              <w:t>Non-fatal ACS year 2 and beyond</w:t>
            </w:r>
          </w:p>
        </w:tc>
        <w:tc>
          <w:tcPr>
            <w:tcW w:w="2184" w:type="dxa"/>
            <w:noWrap/>
          </w:tcPr>
          <w:p w14:paraId="1D047CC4" w14:textId="77777777" w:rsidR="00FE37DB" w:rsidRPr="00A20A17" w:rsidRDefault="00FE37DB" w:rsidP="00A80B48">
            <w:pPr>
              <w:spacing w:after="120"/>
              <w:jc w:val="right"/>
              <w:rPr>
                <w:rFonts w:ascii="Calibri" w:eastAsia="Calibri" w:hAnsi="Calibri" w:cs="Arial"/>
                <w:sz w:val="18"/>
                <w:szCs w:val="18"/>
              </w:rPr>
            </w:pPr>
            <w:r w:rsidRPr="00A20A17">
              <w:rPr>
                <w:rFonts w:ascii="Calibri" w:eastAsia="Calibri" w:hAnsi="Calibri" w:cs="Calibri"/>
                <w:sz w:val="18"/>
                <w:szCs w:val="18"/>
              </w:rPr>
              <w:t>£860</w:t>
            </w:r>
          </w:p>
        </w:tc>
      </w:tr>
      <w:tr w:rsidR="00FE37DB" w:rsidRPr="00A20A17" w14:paraId="69D3AD9B" w14:textId="77777777" w:rsidTr="00A80B48">
        <w:trPr>
          <w:trHeight w:val="278"/>
        </w:trPr>
        <w:tc>
          <w:tcPr>
            <w:tcW w:w="6516" w:type="dxa"/>
            <w:noWrap/>
            <w:vAlign w:val="center"/>
          </w:tcPr>
          <w:p w14:paraId="5914F25E" w14:textId="77777777" w:rsidR="00FE37DB" w:rsidRPr="00A20A17" w:rsidRDefault="00FE37DB" w:rsidP="00A80B48">
            <w:pPr>
              <w:spacing w:after="120"/>
              <w:rPr>
                <w:rFonts w:ascii="Calibri" w:eastAsia="Calibri" w:hAnsi="Calibri" w:cs="Arial"/>
                <w:sz w:val="18"/>
                <w:szCs w:val="18"/>
              </w:rPr>
            </w:pPr>
            <w:r w:rsidRPr="00A20A17">
              <w:rPr>
                <w:rFonts w:ascii="Calibri" w:eastAsia="Calibri" w:hAnsi="Calibri" w:cs="Arial"/>
                <w:sz w:val="18"/>
                <w:szCs w:val="18"/>
              </w:rPr>
              <w:t>Non-fatal IS/TIA year 1</w:t>
            </w:r>
          </w:p>
        </w:tc>
        <w:tc>
          <w:tcPr>
            <w:tcW w:w="2184" w:type="dxa"/>
            <w:noWrap/>
          </w:tcPr>
          <w:p w14:paraId="13A2DBB7" w14:textId="77777777" w:rsidR="00FE37DB" w:rsidRPr="00A20A17" w:rsidRDefault="00FE37DB" w:rsidP="00A80B48">
            <w:pPr>
              <w:spacing w:after="120"/>
              <w:jc w:val="right"/>
              <w:rPr>
                <w:rFonts w:ascii="Calibri" w:eastAsia="Calibri" w:hAnsi="Calibri" w:cs="Arial"/>
                <w:sz w:val="18"/>
                <w:szCs w:val="18"/>
              </w:rPr>
            </w:pPr>
            <w:r w:rsidRPr="00A20A17">
              <w:rPr>
                <w:rFonts w:ascii="Calibri" w:eastAsia="Calibri" w:hAnsi="Calibri" w:cs="Calibri"/>
                <w:sz w:val="18"/>
                <w:szCs w:val="18"/>
              </w:rPr>
              <w:t>£3054</w:t>
            </w:r>
          </w:p>
        </w:tc>
      </w:tr>
      <w:tr w:rsidR="00FE37DB" w:rsidRPr="00A20A17" w14:paraId="3C906AD0" w14:textId="77777777" w:rsidTr="00A80B48">
        <w:trPr>
          <w:trHeight w:val="278"/>
        </w:trPr>
        <w:tc>
          <w:tcPr>
            <w:tcW w:w="6516" w:type="dxa"/>
            <w:noWrap/>
            <w:vAlign w:val="center"/>
          </w:tcPr>
          <w:p w14:paraId="78B80100" w14:textId="77777777" w:rsidR="00FE37DB" w:rsidRPr="00A20A17" w:rsidRDefault="00FE37DB" w:rsidP="00A80B48">
            <w:pPr>
              <w:spacing w:after="120"/>
              <w:rPr>
                <w:rFonts w:ascii="Calibri" w:eastAsia="Calibri" w:hAnsi="Calibri" w:cs="Arial"/>
                <w:sz w:val="18"/>
                <w:szCs w:val="18"/>
              </w:rPr>
            </w:pPr>
            <w:r w:rsidRPr="00A20A17">
              <w:rPr>
                <w:rFonts w:ascii="Calibri" w:eastAsia="Calibri" w:hAnsi="Calibri" w:cs="Arial"/>
                <w:sz w:val="18"/>
                <w:szCs w:val="18"/>
              </w:rPr>
              <w:t>Non-fatal IS/TIA year 2 and beyond</w:t>
            </w:r>
          </w:p>
        </w:tc>
        <w:tc>
          <w:tcPr>
            <w:tcW w:w="2184" w:type="dxa"/>
            <w:noWrap/>
          </w:tcPr>
          <w:p w14:paraId="460B5A35" w14:textId="77777777" w:rsidR="00FE37DB" w:rsidRPr="00A20A17" w:rsidRDefault="00FE37DB" w:rsidP="00A80B48">
            <w:pPr>
              <w:spacing w:after="120"/>
              <w:jc w:val="right"/>
              <w:rPr>
                <w:rFonts w:ascii="Calibri" w:eastAsia="Calibri" w:hAnsi="Calibri" w:cs="Arial"/>
                <w:sz w:val="18"/>
                <w:szCs w:val="18"/>
              </w:rPr>
            </w:pPr>
            <w:r w:rsidRPr="00A20A17">
              <w:rPr>
                <w:rFonts w:ascii="Calibri" w:eastAsia="Calibri" w:hAnsi="Calibri" w:cs="Calibri"/>
                <w:sz w:val="18"/>
                <w:szCs w:val="18"/>
              </w:rPr>
              <w:t>£249</w:t>
            </w:r>
          </w:p>
        </w:tc>
      </w:tr>
      <w:tr w:rsidR="00FE37DB" w:rsidRPr="00A20A17" w14:paraId="7CC5FB97" w14:textId="77777777" w:rsidTr="00A80B48">
        <w:trPr>
          <w:trHeight w:val="278"/>
        </w:trPr>
        <w:tc>
          <w:tcPr>
            <w:tcW w:w="6516" w:type="dxa"/>
            <w:noWrap/>
            <w:vAlign w:val="center"/>
          </w:tcPr>
          <w:p w14:paraId="0B5E72F3" w14:textId="77777777" w:rsidR="00FE37DB" w:rsidRPr="00A20A17" w:rsidRDefault="00FE37DB" w:rsidP="00A80B48">
            <w:pPr>
              <w:spacing w:after="120"/>
              <w:rPr>
                <w:rFonts w:ascii="Calibri" w:eastAsia="Calibri" w:hAnsi="Calibri" w:cs="Arial"/>
                <w:sz w:val="18"/>
                <w:szCs w:val="18"/>
              </w:rPr>
            </w:pPr>
            <w:r w:rsidRPr="00A20A17">
              <w:rPr>
                <w:rFonts w:ascii="Calibri" w:eastAsia="Calibri" w:hAnsi="Calibri" w:cs="Arial"/>
                <w:sz w:val="18"/>
                <w:szCs w:val="18"/>
              </w:rPr>
              <w:t>CV death</w:t>
            </w:r>
          </w:p>
        </w:tc>
        <w:tc>
          <w:tcPr>
            <w:tcW w:w="2184" w:type="dxa"/>
            <w:noWrap/>
          </w:tcPr>
          <w:p w14:paraId="416C8F65" w14:textId="77777777" w:rsidR="00FE37DB" w:rsidRPr="00A20A17" w:rsidRDefault="00FE37DB" w:rsidP="00A80B48">
            <w:pPr>
              <w:spacing w:after="120"/>
              <w:jc w:val="right"/>
              <w:rPr>
                <w:rFonts w:ascii="Calibri" w:eastAsia="Calibri" w:hAnsi="Calibri" w:cs="Arial"/>
                <w:sz w:val="18"/>
                <w:szCs w:val="18"/>
              </w:rPr>
            </w:pPr>
            <w:r w:rsidRPr="00A20A17">
              <w:rPr>
                <w:rFonts w:ascii="Calibri" w:eastAsia="Calibri" w:hAnsi="Calibri" w:cs="Calibri"/>
                <w:sz w:val="18"/>
                <w:szCs w:val="18"/>
              </w:rPr>
              <w:t>£1058</w:t>
            </w:r>
          </w:p>
        </w:tc>
      </w:tr>
      <w:tr w:rsidR="00FE37DB" w:rsidRPr="00A20A17" w14:paraId="494679C6" w14:textId="77777777" w:rsidTr="00A80B48">
        <w:trPr>
          <w:trHeight w:val="278"/>
        </w:trPr>
        <w:tc>
          <w:tcPr>
            <w:tcW w:w="8700" w:type="dxa"/>
            <w:gridSpan w:val="2"/>
            <w:noWrap/>
            <w:vAlign w:val="center"/>
          </w:tcPr>
          <w:p w14:paraId="5251D141" w14:textId="77777777" w:rsidR="00FE37DB" w:rsidRPr="00A20A17" w:rsidRDefault="00FE37DB" w:rsidP="00A80B48">
            <w:pPr>
              <w:spacing w:after="120"/>
              <w:rPr>
                <w:rFonts w:ascii="Calibri" w:eastAsia="Calibri" w:hAnsi="Calibri" w:cs="Arial"/>
                <w:sz w:val="18"/>
                <w:szCs w:val="18"/>
              </w:rPr>
            </w:pPr>
            <w:r w:rsidRPr="00A20A17">
              <w:rPr>
                <w:rFonts w:ascii="Calibri" w:eastAsia="Calibri" w:hAnsi="Calibri" w:cs="Arial"/>
                <w:sz w:val="18"/>
                <w:szCs w:val="18"/>
              </w:rPr>
              <w:t>ACS: Acute Coronary Syndrome; CV: Cardiovascular; IS: Ischaemic Stroke; NICE: National Institute for Health and Care Excellence; TIA: Transient Ischaemic Attack.</w:t>
            </w:r>
          </w:p>
          <w:p w14:paraId="27D59F21" w14:textId="77777777" w:rsidR="00FE37DB" w:rsidRPr="00A20A17" w:rsidRDefault="00FE37DB" w:rsidP="00A80B48">
            <w:pPr>
              <w:spacing w:after="120"/>
              <w:rPr>
                <w:rFonts w:ascii="Calibri" w:eastAsia="Calibri" w:hAnsi="Calibri" w:cs="Arial"/>
                <w:sz w:val="18"/>
                <w:szCs w:val="18"/>
              </w:rPr>
            </w:pPr>
            <w:r w:rsidRPr="00A20A17">
              <w:rPr>
                <w:rFonts w:ascii="Calibri" w:eastAsia="Calibri" w:hAnsi="Calibri" w:cs="Arial"/>
                <w:sz w:val="18"/>
                <w:szCs w:val="18"/>
              </w:rPr>
              <w:t xml:space="preserve">To calculate these costs, we recalculated the costs as per the NICE CG181 model </w:t>
            </w:r>
            <w:r w:rsidRPr="00A20A17">
              <w:rPr>
                <w:rFonts w:ascii="Calibri" w:eastAsia="Calibri" w:hAnsi="Calibri" w:cs="Arial"/>
                <w:sz w:val="18"/>
                <w:szCs w:val="18"/>
              </w:rPr>
              <w:fldChar w:fldCharType="begin"/>
            </w:r>
            <w:r w:rsidRPr="00A20A17">
              <w:rPr>
                <w:rFonts w:ascii="Calibri" w:eastAsia="Calibri" w:hAnsi="Calibri" w:cs="Arial"/>
                <w:sz w:val="18"/>
                <w:szCs w:val="18"/>
              </w:rPr>
              <w:instrText xml:space="preserve"> ADDIN EN.CITE &lt;EndNote&gt;&lt;Cite&gt;&lt;Author&gt;NICE&lt;/Author&gt;&lt;Year&gt;2014&lt;/Year&gt;&lt;IDText&gt;Clinical guideline 181. Lipid modification: cardiovascular risk assessment and the modification of blood lipids for the primary and secondary prevention of cardiovascular disease&lt;/IDText&gt;&lt;DisplayText&gt;&lt;style face="superscript"&gt;12&lt;/style&gt;&lt;/DisplayText&gt;&lt;record&gt;&lt;titles&gt;&lt;title&gt;Clinical guideline 181. Lipid modification: cardiovascular risk assessment and the modification of blood lipids for the primary and secondary prevention of cardiovascular disease&lt;/title&gt;&lt;short-title&gt;Clinical guideline 181. Lipid modification: cardiovascular risk assessment and the modification of blood lipids for the primary and secondary prevention of cardiovascular disease&lt;/short-title&gt;&lt;/titles&gt;&lt;contributors&gt;&lt;authors&gt;&lt;author&gt;NICE&lt;/author&gt;&lt;/authors&gt;&lt;/contributors&gt;&lt;added-date format="utc"&gt;1603453281&lt;/added-date&gt;&lt;ref-type name="Report"&gt;27&lt;/ref-type&gt;&lt;dates&gt;&lt;year&gt;2014&lt;/year&gt;&lt;/dates&gt;&lt;rec-number&gt;62&lt;/rec-number&gt;&lt;last-updated-date format="utc"&gt;1603453281&lt;/last-updated-date&gt;&lt;/record&gt;&lt;/Cite&gt;&lt;/EndNote&gt;</w:instrText>
            </w:r>
            <w:r w:rsidRPr="00A20A17">
              <w:rPr>
                <w:rFonts w:ascii="Calibri" w:eastAsia="Calibri" w:hAnsi="Calibri" w:cs="Arial"/>
                <w:sz w:val="18"/>
                <w:szCs w:val="18"/>
              </w:rPr>
              <w:fldChar w:fldCharType="separate"/>
            </w:r>
            <w:r w:rsidRPr="00A20A17">
              <w:rPr>
                <w:rFonts w:ascii="Calibri" w:eastAsia="Calibri" w:hAnsi="Calibri" w:cs="Arial"/>
                <w:noProof/>
                <w:sz w:val="18"/>
                <w:szCs w:val="18"/>
                <w:vertAlign w:val="superscript"/>
              </w:rPr>
              <w:t>12</w:t>
            </w:r>
            <w:r w:rsidRPr="00A20A17">
              <w:rPr>
                <w:rFonts w:ascii="Calibri" w:eastAsia="Calibri" w:hAnsi="Calibri" w:cs="Arial"/>
                <w:sz w:val="18"/>
                <w:szCs w:val="18"/>
              </w:rPr>
              <w:fldChar w:fldCharType="end"/>
            </w:r>
            <w:r w:rsidRPr="00A20A17">
              <w:rPr>
                <w:rFonts w:ascii="Calibri" w:eastAsia="Calibri" w:hAnsi="Calibri" w:cs="Arial"/>
                <w:sz w:val="18"/>
                <w:szCs w:val="18"/>
              </w:rPr>
              <w:t xml:space="preserve">,  updated to 2019 </w:t>
            </w:r>
            <w:r w:rsidRPr="00A20A17">
              <w:rPr>
                <w:rFonts w:ascii="Calibri" w:eastAsia="Calibri" w:hAnsi="Calibri" w:cs="Arial"/>
                <w:sz w:val="18"/>
                <w:szCs w:val="18"/>
              </w:rPr>
              <w:fldChar w:fldCharType="begin"/>
            </w:r>
            <w:r w:rsidRPr="00A20A17">
              <w:rPr>
                <w:rFonts w:ascii="Calibri" w:eastAsia="Calibri" w:hAnsi="Calibri" w:cs="Arial"/>
                <w:sz w:val="18"/>
                <w:szCs w:val="18"/>
              </w:rPr>
              <w:instrText xml:space="preserve"> ADDIN EN.CITE &lt;EndNote&gt;&lt;Cite&gt;&lt;Author&gt;NHS England and NHS Improvement&lt;/Author&gt;&lt;Year&gt;2020&lt;/Year&gt;&lt;IDText&gt;National schedule of NHS costs 2019&lt;/IDText&gt;&lt;DisplayText&gt;&lt;style face="superscript"&gt;20,21&lt;/style&gt;&lt;/DisplayText&gt;&lt;record&gt;&lt;urls&gt;&lt;related-urls&gt;&lt;url&gt;https://www.england.nhs.uk/wp-content/uploads/2020/08/2_-_National_schedule_of_NHS_costs_V2.xlsx&lt;/url&gt;&lt;/related-urls&gt;&lt;/urls&gt;&lt;titles&gt;&lt;title&gt;National schedule of NHS costs 2019&lt;/title&gt;&lt;/titles&gt;&lt;access-date&gt;24/05/2021&lt;/access-date&gt;&lt;contributors&gt;&lt;authors&gt;&lt;author&gt;NHS England and NHS Improvement,&lt;/author&gt;&lt;/authors&gt;&lt;/contributors&gt;&lt;added-date format="utc"&gt;1621867475&lt;/added-date&gt;&lt;ref-type name="Dataset"&gt;59&lt;/ref-type&gt;&lt;dates&gt;&lt;year&gt;2020&lt;/year&gt;&lt;/dates&gt;&lt;rec-number&gt;194&lt;/rec-number&gt;&lt;last-updated-date format="utc"&gt;1621867475&lt;/last-updated-date&gt;&lt;/record&gt;&lt;/Cite&gt;&lt;Cite&gt;&lt;Author&gt;Curtis&lt;/Author&gt;&lt;Year&gt;2019&lt;/Year&gt;&lt;IDText&gt;Unit Costs of Health and Social Care 2019&lt;/IDText&gt;&lt;record&gt;&lt;titles&gt;&lt;title&gt;Unit Costs of Health and Social Care 2019&lt;/title&gt;&lt;/titles&gt;&lt;contributors&gt;&lt;authors&gt;&lt;author&gt;Curtis, L.&lt;/author&gt;&lt;author&gt;Burns, A.&lt;/author&gt;&lt;/authors&gt;&lt;/contributors&gt;&lt;added-date format="utc"&gt;1621867475&lt;/added-date&gt;&lt;pub-location&gt;Canterbury&lt;/pub-location&gt;&lt;ref-type name="Book"&gt;6&lt;/ref-type&gt;&lt;dates&gt;&lt;year&gt;2019&lt;/year&gt;&lt;/dates&gt;&lt;rec-number&gt;192&lt;/rec-number&gt;&lt;publisher&gt;Personal Social Services Research Unit, University of Kent&lt;/publisher&gt;&lt;last-updated-date format="utc"&gt;1621867475&lt;/last-updated-date&gt;&lt;electronic-resource-num&gt;10.22024/UniKent/01.02.79286&lt;/electronic-resource-num&gt;&lt;/record&gt;&lt;/Cite&gt;&lt;/EndNote&gt;</w:instrText>
            </w:r>
            <w:r w:rsidRPr="00A20A17">
              <w:rPr>
                <w:rFonts w:ascii="Calibri" w:eastAsia="Calibri" w:hAnsi="Calibri" w:cs="Arial"/>
                <w:sz w:val="18"/>
                <w:szCs w:val="18"/>
              </w:rPr>
              <w:fldChar w:fldCharType="separate"/>
            </w:r>
            <w:r w:rsidRPr="00A20A17">
              <w:rPr>
                <w:rFonts w:ascii="Calibri" w:eastAsia="Calibri" w:hAnsi="Calibri" w:cs="Arial"/>
                <w:noProof/>
                <w:sz w:val="18"/>
                <w:szCs w:val="18"/>
                <w:vertAlign w:val="superscript"/>
              </w:rPr>
              <w:t>20,21</w:t>
            </w:r>
            <w:r w:rsidRPr="00A20A17">
              <w:rPr>
                <w:rFonts w:ascii="Calibri" w:eastAsia="Calibri" w:hAnsi="Calibri" w:cs="Arial"/>
                <w:sz w:val="18"/>
                <w:szCs w:val="18"/>
              </w:rPr>
              <w:fldChar w:fldCharType="end"/>
            </w:r>
            <w:r w:rsidRPr="00A20A17">
              <w:rPr>
                <w:rFonts w:ascii="Calibri" w:eastAsia="Calibri" w:hAnsi="Calibri" w:cs="Arial"/>
                <w:sz w:val="18"/>
                <w:szCs w:val="18"/>
              </w:rPr>
              <w:t>,  and calculated the weighted average of the costs of myocardial infarction and unstable angina, and of ischaemic stroke and transient ischaemic attack based on the proportions in the CPRD cohort.</w:t>
            </w:r>
          </w:p>
        </w:tc>
      </w:tr>
    </w:tbl>
    <w:p w14:paraId="2FBA7108" w14:textId="77777777" w:rsidR="00FE37DB" w:rsidRPr="00A20A17" w:rsidRDefault="00FE37DB" w:rsidP="00FE37DB">
      <w:pPr>
        <w:spacing w:after="120" w:line="240" w:lineRule="auto"/>
        <w:rPr>
          <w:rFonts w:ascii="Calibri" w:eastAsia="Calibri" w:hAnsi="Calibri" w:cs="Arial"/>
          <w:i/>
          <w:iCs/>
          <w:color w:val="44546A"/>
          <w:sz w:val="18"/>
          <w:szCs w:val="18"/>
        </w:rPr>
      </w:pPr>
    </w:p>
    <w:p w14:paraId="1E8EFA0E" w14:textId="77777777" w:rsidR="00FE37DB" w:rsidRPr="00A20A17" w:rsidRDefault="00FE37DB" w:rsidP="00FE37DB">
      <w:pPr>
        <w:keepNext/>
        <w:spacing w:before="120"/>
        <w:rPr>
          <w:rFonts w:ascii="Calibri" w:eastAsia="Calibri" w:hAnsi="Calibri" w:cs="Arial"/>
          <w:i/>
          <w:iCs/>
          <w:color w:val="44546A"/>
          <w:sz w:val="18"/>
          <w:szCs w:val="18"/>
        </w:rPr>
      </w:pPr>
      <w:r w:rsidRPr="00A20A17">
        <w:rPr>
          <w:rFonts w:ascii="Calibri" w:eastAsia="Calibri" w:hAnsi="Calibri" w:cs="Arial"/>
          <w:i/>
          <w:iCs/>
          <w:color w:val="44546A"/>
          <w:sz w:val="18"/>
          <w:szCs w:val="18"/>
        </w:rPr>
        <w:t xml:space="preserve">Table </w:t>
      </w:r>
      <w:r w:rsidRPr="00A20A17">
        <w:rPr>
          <w:rFonts w:ascii="Calibri" w:eastAsia="Calibri" w:hAnsi="Calibri" w:cs="Arial"/>
          <w:i/>
          <w:iCs/>
          <w:color w:val="44546A"/>
          <w:sz w:val="18"/>
          <w:szCs w:val="18"/>
        </w:rPr>
        <w:fldChar w:fldCharType="begin"/>
      </w:r>
      <w:r w:rsidRPr="00A20A17">
        <w:rPr>
          <w:rFonts w:ascii="Calibri" w:eastAsia="Calibri" w:hAnsi="Calibri" w:cs="Arial"/>
          <w:i/>
          <w:iCs/>
          <w:color w:val="44546A"/>
          <w:sz w:val="18"/>
          <w:szCs w:val="18"/>
        </w:rPr>
        <w:instrText>SEQ Table \* ARABIC</w:instrText>
      </w:r>
      <w:r w:rsidRPr="00A20A17">
        <w:rPr>
          <w:rFonts w:ascii="Calibri" w:eastAsia="Calibri" w:hAnsi="Calibri" w:cs="Arial"/>
          <w:i/>
          <w:iCs/>
          <w:color w:val="44546A"/>
          <w:sz w:val="18"/>
          <w:szCs w:val="18"/>
        </w:rPr>
        <w:fldChar w:fldCharType="separate"/>
      </w:r>
      <w:r w:rsidRPr="00A20A17">
        <w:rPr>
          <w:rFonts w:ascii="Calibri" w:eastAsia="Calibri" w:hAnsi="Calibri" w:cs="Arial"/>
          <w:i/>
          <w:iCs/>
          <w:noProof/>
          <w:color w:val="44546A"/>
          <w:sz w:val="18"/>
          <w:szCs w:val="18"/>
        </w:rPr>
        <w:t>24</w:t>
      </w:r>
      <w:r w:rsidRPr="00A20A17">
        <w:rPr>
          <w:rFonts w:ascii="Calibri" w:eastAsia="Calibri" w:hAnsi="Calibri" w:cs="Arial"/>
          <w:i/>
          <w:iCs/>
          <w:color w:val="44546A"/>
          <w:sz w:val="18"/>
          <w:szCs w:val="18"/>
        </w:rPr>
        <w:fldChar w:fldCharType="end"/>
      </w:r>
      <w:r w:rsidRPr="00A20A17">
        <w:rPr>
          <w:rFonts w:ascii="Calibri" w:eastAsia="Calibri" w:hAnsi="Calibri" w:cs="Arial"/>
          <w:i/>
          <w:iCs/>
          <w:color w:val="44546A"/>
          <w:sz w:val="18"/>
          <w:szCs w:val="18"/>
        </w:rPr>
        <w:t>: Model inputs for scenario 28: Increased costs of recurrent events</w:t>
      </w:r>
    </w:p>
    <w:tbl>
      <w:tblPr>
        <w:tblStyle w:val="TableGrid2"/>
        <w:tblW w:w="0" w:type="auto"/>
        <w:tblLook w:val="04A0" w:firstRow="1" w:lastRow="0" w:firstColumn="1" w:lastColumn="0" w:noHBand="0" w:noVBand="1"/>
      </w:tblPr>
      <w:tblGrid>
        <w:gridCol w:w="6516"/>
        <w:gridCol w:w="2126"/>
      </w:tblGrid>
      <w:tr w:rsidR="00FE37DB" w:rsidRPr="00A20A17" w14:paraId="746A6EB5" w14:textId="77777777" w:rsidTr="00A80B48">
        <w:tc>
          <w:tcPr>
            <w:tcW w:w="6516" w:type="dxa"/>
          </w:tcPr>
          <w:p w14:paraId="6E1B9CC3" w14:textId="77777777" w:rsidR="00FE37DB" w:rsidRPr="00A20A17" w:rsidRDefault="00FE37DB" w:rsidP="00A80B48">
            <w:pPr>
              <w:spacing w:before="60" w:after="60" w:line="240" w:lineRule="auto"/>
              <w:rPr>
                <w:rFonts w:ascii="Calibri" w:eastAsia="Calibri" w:hAnsi="Calibri" w:cs="Arial"/>
                <w:b/>
                <w:bCs/>
                <w:sz w:val="18"/>
                <w:szCs w:val="18"/>
              </w:rPr>
            </w:pPr>
            <w:r w:rsidRPr="00A20A17">
              <w:rPr>
                <w:rFonts w:ascii="Calibri" w:eastAsia="Calibri" w:hAnsi="Calibri" w:cs="Arial"/>
                <w:b/>
                <w:bCs/>
                <w:sz w:val="18"/>
                <w:szCs w:val="18"/>
              </w:rPr>
              <w:t>Health state</w:t>
            </w:r>
          </w:p>
        </w:tc>
        <w:tc>
          <w:tcPr>
            <w:tcW w:w="2126" w:type="dxa"/>
          </w:tcPr>
          <w:p w14:paraId="3459CF17" w14:textId="77777777" w:rsidR="00FE37DB" w:rsidRPr="00A20A17" w:rsidRDefault="00FE37DB" w:rsidP="00A80B48">
            <w:pPr>
              <w:spacing w:before="60" w:after="60" w:line="240" w:lineRule="auto"/>
              <w:rPr>
                <w:rFonts w:ascii="Calibri" w:eastAsia="Calibri" w:hAnsi="Calibri" w:cs="Arial"/>
                <w:b/>
                <w:bCs/>
                <w:sz w:val="18"/>
                <w:szCs w:val="18"/>
              </w:rPr>
            </w:pPr>
            <w:r w:rsidRPr="00A20A17">
              <w:rPr>
                <w:rFonts w:ascii="Calibri" w:eastAsia="Calibri" w:hAnsi="Calibri" w:cs="Arial"/>
                <w:b/>
                <w:bCs/>
                <w:sz w:val="18"/>
                <w:szCs w:val="18"/>
              </w:rPr>
              <w:t>Cost (per annum)</w:t>
            </w:r>
          </w:p>
        </w:tc>
      </w:tr>
      <w:tr w:rsidR="00FE37DB" w:rsidRPr="00A20A17" w14:paraId="28479AB6" w14:textId="77777777" w:rsidTr="00A80B48">
        <w:tc>
          <w:tcPr>
            <w:tcW w:w="6516" w:type="dxa"/>
            <w:vAlign w:val="center"/>
          </w:tcPr>
          <w:p w14:paraId="32260F4A"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Non-fatal ACS year 1</w:t>
            </w:r>
          </w:p>
        </w:tc>
        <w:tc>
          <w:tcPr>
            <w:tcW w:w="2126" w:type="dxa"/>
          </w:tcPr>
          <w:p w14:paraId="79255555" w14:textId="77777777" w:rsidR="00FE37DB" w:rsidRPr="00A20A17" w:rsidRDefault="00FE37DB" w:rsidP="00A80B48">
            <w:pPr>
              <w:spacing w:before="60" w:after="60" w:line="240" w:lineRule="auto"/>
              <w:jc w:val="right"/>
              <w:rPr>
                <w:rFonts w:ascii="Calibri" w:eastAsia="Calibri" w:hAnsi="Calibri" w:cs="Arial"/>
                <w:sz w:val="18"/>
                <w:szCs w:val="18"/>
              </w:rPr>
            </w:pPr>
            <w:r w:rsidRPr="00A20A17">
              <w:rPr>
                <w:rFonts w:ascii="Calibri" w:eastAsia="Calibri" w:hAnsi="Calibri" w:cs="Arial"/>
                <w:sz w:val="18"/>
                <w:szCs w:val="18"/>
              </w:rPr>
              <w:t>£10,244</w:t>
            </w:r>
          </w:p>
        </w:tc>
      </w:tr>
      <w:tr w:rsidR="00FE37DB" w:rsidRPr="00A20A17" w14:paraId="228574AB" w14:textId="77777777" w:rsidTr="00A80B48">
        <w:tc>
          <w:tcPr>
            <w:tcW w:w="6516" w:type="dxa"/>
            <w:vAlign w:val="center"/>
          </w:tcPr>
          <w:p w14:paraId="5E070345"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Non-fatal ACS year 2 and beyond</w:t>
            </w:r>
          </w:p>
        </w:tc>
        <w:tc>
          <w:tcPr>
            <w:tcW w:w="2126" w:type="dxa"/>
          </w:tcPr>
          <w:p w14:paraId="4E154F06" w14:textId="77777777" w:rsidR="00FE37DB" w:rsidRPr="00A20A17" w:rsidRDefault="00FE37DB" w:rsidP="00A80B48">
            <w:pPr>
              <w:spacing w:before="60" w:after="60" w:line="240" w:lineRule="auto"/>
              <w:jc w:val="right"/>
              <w:rPr>
                <w:rFonts w:ascii="Calibri" w:eastAsia="Calibri" w:hAnsi="Calibri" w:cs="Arial"/>
                <w:sz w:val="18"/>
                <w:szCs w:val="18"/>
              </w:rPr>
            </w:pPr>
            <w:r w:rsidRPr="00A20A17">
              <w:rPr>
                <w:rFonts w:ascii="Calibri" w:eastAsia="Calibri" w:hAnsi="Calibri" w:cs="Arial"/>
                <w:sz w:val="18"/>
                <w:szCs w:val="18"/>
              </w:rPr>
              <w:t>£4,186</w:t>
            </w:r>
          </w:p>
        </w:tc>
      </w:tr>
      <w:tr w:rsidR="00FE37DB" w:rsidRPr="00A20A17" w14:paraId="1652473D" w14:textId="77777777" w:rsidTr="00A80B48">
        <w:tc>
          <w:tcPr>
            <w:tcW w:w="6516" w:type="dxa"/>
            <w:vAlign w:val="center"/>
          </w:tcPr>
          <w:p w14:paraId="74D995A4"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Non-fatal IS/TIA year 1</w:t>
            </w:r>
          </w:p>
        </w:tc>
        <w:tc>
          <w:tcPr>
            <w:tcW w:w="2126" w:type="dxa"/>
          </w:tcPr>
          <w:p w14:paraId="5A4EA665" w14:textId="77777777" w:rsidR="00FE37DB" w:rsidRPr="00A20A17" w:rsidRDefault="00FE37DB" w:rsidP="00A80B48">
            <w:pPr>
              <w:spacing w:before="60" w:after="60" w:line="240" w:lineRule="auto"/>
              <w:jc w:val="right"/>
              <w:rPr>
                <w:rFonts w:ascii="Calibri" w:eastAsia="Calibri" w:hAnsi="Calibri" w:cs="Arial"/>
                <w:sz w:val="18"/>
                <w:szCs w:val="18"/>
              </w:rPr>
            </w:pPr>
            <w:r w:rsidRPr="00A20A17">
              <w:rPr>
                <w:rFonts w:ascii="Calibri" w:eastAsia="Calibri" w:hAnsi="Calibri" w:cs="Arial"/>
                <w:sz w:val="18"/>
                <w:szCs w:val="18"/>
              </w:rPr>
              <w:t>£11,554</w:t>
            </w:r>
          </w:p>
        </w:tc>
      </w:tr>
      <w:tr w:rsidR="00FE37DB" w:rsidRPr="00A20A17" w14:paraId="4CFD2769" w14:textId="77777777" w:rsidTr="00A80B48">
        <w:tc>
          <w:tcPr>
            <w:tcW w:w="6516" w:type="dxa"/>
            <w:vAlign w:val="center"/>
          </w:tcPr>
          <w:p w14:paraId="6D839AC4"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Non-fatal IS/TIA year 2 and beyond</w:t>
            </w:r>
          </w:p>
        </w:tc>
        <w:tc>
          <w:tcPr>
            <w:tcW w:w="2126" w:type="dxa"/>
          </w:tcPr>
          <w:p w14:paraId="6CD54677" w14:textId="77777777" w:rsidR="00FE37DB" w:rsidRPr="00A20A17" w:rsidRDefault="00FE37DB" w:rsidP="00A80B48">
            <w:pPr>
              <w:spacing w:before="60" w:after="60" w:line="240" w:lineRule="auto"/>
              <w:jc w:val="right"/>
              <w:rPr>
                <w:rFonts w:ascii="Calibri" w:eastAsia="Calibri" w:hAnsi="Calibri" w:cs="Arial"/>
                <w:sz w:val="18"/>
                <w:szCs w:val="18"/>
              </w:rPr>
            </w:pPr>
            <w:r w:rsidRPr="00A20A17">
              <w:rPr>
                <w:rFonts w:ascii="Calibri" w:eastAsia="Calibri" w:hAnsi="Calibri" w:cs="Arial"/>
                <w:sz w:val="18"/>
                <w:szCs w:val="18"/>
              </w:rPr>
              <w:t>£4,301</w:t>
            </w:r>
          </w:p>
        </w:tc>
      </w:tr>
      <w:tr w:rsidR="00FE37DB" w:rsidRPr="00A20A17" w14:paraId="191482D4" w14:textId="77777777" w:rsidTr="00A80B48">
        <w:tc>
          <w:tcPr>
            <w:tcW w:w="6516" w:type="dxa"/>
            <w:vAlign w:val="center"/>
          </w:tcPr>
          <w:p w14:paraId="26DDBB71"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CV death</w:t>
            </w:r>
          </w:p>
        </w:tc>
        <w:tc>
          <w:tcPr>
            <w:tcW w:w="2126" w:type="dxa"/>
          </w:tcPr>
          <w:p w14:paraId="236C9ECA"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£2300 (=base-case)</w:t>
            </w:r>
          </w:p>
        </w:tc>
      </w:tr>
      <w:tr w:rsidR="00FE37DB" w:rsidRPr="00A20A17" w14:paraId="6C195739" w14:textId="77777777" w:rsidTr="00A80B48">
        <w:tc>
          <w:tcPr>
            <w:tcW w:w="6516" w:type="dxa"/>
          </w:tcPr>
          <w:p w14:paraId="42EBB184"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Non-CV death</w:t>
            </w:r>
          </w:p>
        </w:tc>
        <w:tc>
          <w:tcPr>
            <w:tcW w:w="2126" w:type="dxa"/>
          </w:tcPr>
          <w:p w14:paraId="6705FF20"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£1929 (=base-case)</w:t>
            </w:r>
          </w:p>
        </w:tc>
      </w:tr>
      <w:tr w:rsidR="00FE37DB" w:rsidRPr="00A20A17" w14:paraId="0B1A35BE" w14:textId="77777777" w:rsidTr="00A80B48">
        <w:tc>
          <w:tcPr>
            <w:tcW w:w="6516" w:type="dxa"/>
          </w:tcPr>
          <w:p w14:paraId="2334156D"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Any death: average of CV and non-CV death</w:t>
            </w:r>
          </w:p>
        </w:tc>
        <w:tc>
          <w:tcPr>
            <w:tcW w:w="2126" w:type="dxa"/>
          </w:tcPr>
          <w:p w14:paraId="2026C9D8" w14:textId="77777777" w:rsidR="00FE37DB" w:rsidRPr="00A20A17" w:rsidRDefault="00FE37DB" w:rsidP="00A80B48">
            <w:pPr>
              <w:spacing w:before="60" w:after="60" w:line="240" w:lineRule="auto"/>
              <w:jc w:val="right"/>
              <w:rPr>
                <w:rFonts w:ascii="Calibri" w:eastAsia="Calibri" w:hAnsi="Calibri" w:cs="Calibri"/>
                <w:sz w:val="18"/>
                <w:szCs w:val="18"/>
              </w:rPr>
            </w:pPr>
            <w:r w:rsidRPr="00A20A17">
              <w:rPr>
                <w:rFonts w:ascii="Calibri" w:eastAsia="Calibri" w:hAnsi="Calibri" w:cs="Calibri"/>
                <w:sz w:val="18"/>
                <w:szCs w:val="18"/>
              </w:rPr>
              <w:t>£2115 (=base-case)</w:t>
            </w:r>
          </w:p>
        </w:tc>
      </w:tr>
      <w:tr w:rsidR="00FE37DB" w:rsidRPr="00A20A17" w14:paraId="33DB3BF2" w14:textId="77777777" w:rsidTr="00A80B48">
        <w:tc>
          <w:tcPr>
            <w:tcW w:w="8642" w:type="dxa"/>
            <w:gridSpan w:val="2"/>
          </w:tcPr>
          <w:p w14:paraId="078C7E70" w14:textId="77777777" w:rsidR="00FE37DB" w:rsidRPr="00A20A17" w:rsidRDefault="00FE37DB" w:rsidP="00A80B48">
            <w:pPr>
              <w:spacing w:after="0"/>
              <w:rPr>
                <w:rFonts w:ascii="Calibri" w:eastAsia="Calibri" w:hAnsi="Calibri" w:cs="Arial"/>
                <w:sz w:val="18"/>
                <w:szCs w:val="18"/>
              </w:rPr>
            </w:pPr>
            <w:r w:rsidRPr="00A20A17">
              <w:rPr>
                <w:rFonts w:ascii="Calibri" w:eastAsia="Calibri" w:hAnsi="Calibri" w:cs="Arial"/>
                <w:sz w:val="18"/>
                <w:szCs w:val="18"/>
              </w:rPr>
              <w:t>ACS: Acute Coronary Syndrome; CV: Cardiovascular; FH: Familial Hypercholesterolaemia; IS: Ischaemic Stroke; NICE: National Institute for Health and Care Excellence; TIA: Transient Ischaemic Attack.</w:t>
            </w:r>
          </w:p>
        </w:tc>
      </w:tr>
    </w:tbl>
    <w:p w14:paraId="7C9781A9" w14:textId="77777777" w:rsidR="00FE37DB" w:rsidRPr="00A20A17" w:rsidRDefault="00FE37DB" w:rsidP="00FE37DB">
      <w:pPr>
        <w:spacing w:after="120" w:line="240" w:lineRule="auto"/>
        <w:rPr>
          <w:rFonts w:ascii="Calibri" w:eastAsia="Calibri" w:hAnsi="Calibri" w:cs="Arial"/>
          <w:i/>
          <w:iCs/>
          <w:color w:val="44546A"/>
          <w:sz w:val="18"/>
          <w:szCs w:val="18"/>
        </w:rPr>
      </w:pPr>
    </w:p>
    <w:p w14:paraId="5B562CED" w14:textId="77777777" w:rsidR="00FE37DB" w:rsidRPr="00A20A17" w:rsidRDefault="00FE37DB" w:rsidP="00FE37DB">
      <w:pPr>
        <w:spacing w:before="120"/>
        <w:rPr>
          <w:rFonts w:ascii="Calibri" w:eastAsia="Calibri" w:hAnsi="Calibri" w:cs="Arial"/>
          <w:i/>
          <w:iCs/>
          <w:color w:val="44546A"/>
          <w:sz w:val="18"/>
          <w:szCs w:val="18"/>
        </w:rPr>
      </w:pPr>
      <w:r w:rsidRPr="00A20A17">
        <w:rPr>
          <w:rFonts w:ascii="Calibri" w:eastAsia="Calibri" w:hAnsi="Calibri" w:cs="Arial"/>
          <w:i/>
          <w:iCs/>
          <w:color w:val="44546A"/>
          <w:sz w:val="18"/>
          <w:szCs w:val="18"/>
        </w:rPr>
        <w:t xml:space="preserve">Table </w:t>
      </w:r>
      <w:r w:rsidRPr="00A20A17">
        <w:rPr>
          <w:rFonts w:ascii="Calibri" w:eastAsia="Calibri" w:hAnsi="Calibri" w:cs="Arial"/>
          <w:i/>
          <w:iCs/>
          <w:color w:val="44546A"/>
          <w:sz w:val="18"/>
          <w:szCs w:val="18"/>
        </w:rPr>
        <w:fldChar w:fldCharType="begin"/>
      </w:r>
      <w:r w:rsidRPr="00A20A17">
        <w:rPr>
          <w:rFonts w:ascii="Calibri" w:eastAsia="Calibri" w:hAnsi="Calibri" w:cs="Arial"/>
          <w:i/>
          <w:iCs/>
          <w:color w:val="44546A"/>
          <w:sz w:val="18"/>
          <w:szCs w:val="18"/>
        </w:rPr>
        <w:instrText>SEQ Table \* ARABIC</w:instrText>
      </w:r>
      <w:r w:rsidRPr="00A20A17">
        <w:rPr>
          <w:rFonts w:ascii="Calibri" w:eastAsia="Calibri" w:hAnsi="Calibri" w:cs="Arial"/>
          <w:i/>
          <w:iCs/>
          <w:color w:val="44546A"/>
          <w:sz w:val="18"/>
          <w:szCs w:val="18"/>
        </w:rPr>
        <w:fldChar w:fldCharType="separate"/>
      </w:r>
      <w:r w:rsidRPr="00A20A17">
        <w:rPr>
          <w:rFonts w:ascii="Calibri" w:eastAsia="Calibri" w:hAnsi="Calibri" w:cs="Arial"/>
          <w:i/>
          <w:iCs/>
          <w:noProof/>
          <w:color w:val="44546A"/>
          <w:sz w:val="18"/>
          <w:szCs w:val="18"/>
        </w:rPr>
        <w:t>25</w:t>
      </w:r>
      <w:r w:rsidRPr="00A20A17">
        <w:rPr>
          <w:rFonts w:ascii="Calibri" w:eastAsia="Calibri" w:hAnsi="Calibri" w:cs="Arial"/>
          <w:i/>
          <w:iCs/>
          <w:color w:val="44546A"/>
          <w:sz w:val="18"/>
          <w:szCs w:val="18"/>
        </w:rPr>
        <w:fldChar w:fldCharType="end"/>
      </w:r>
      <w:r w:rsidRPr="00A20A17">
        <w:rPr>
          <w:rFonts w:ascii="Calibri" w:eastAsia="Calibri" w:hAnsi="Calibri" w:cs="Arial"/>
          <w:i/>
          <w:iCs/>
          <w:color w:val="44546A"/>
          <w:sz w:val="18"/>
          <w:szCs w:val="18"/>
        </w:rPr>
        <w:t xml:space="preserve">: Model inputs for scenario 29, in which the health-related quality of life weights are obtained from Ara et al </w:t>
      </w:r>
      <w:r w:rsidRPr="00A20A17">
        <w:rPr>
          <w:rFonts w:ascii="Calibri" w:eastAsia="Calibri" w:hAnsi="Calibri" w:cs="Arial"/>
          <w:i/>
          <w:iCs/>
          <w:color w:val="44546A"/>
          <w:sz w:val="18"/>
          <w:szCs w:val="18"/>
        </w:rPr>
        <w:fldChar w:fldCharType="begin">
          <w:fldData xml:space="preserve">PEVuZE5vdGU+PENpdGU+PEF1dGhvcj5BcmE8L0F1dGhvcj48WWVhcj4yMDEwPC9ZZWFyPjxJRFRl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</w:fldData>
        </w:fldChar>
      </w:r>
      <w:r w:rsidRPr="00A20A17">
        <w:rPr>
          <w:rFonts w:ascii="Calibri" w:eastAsia="Calibri" w:hAnsi="Calibri" w:cs="Arial"/>
          <w:i/>
          <w:iCs/>
          <w:color w:val="44546A"/>
          <w:sz w:val="18"/>
          <w:szCs w:val="18"/>
        </w:rPr>
        <w:instrText xml:space="preserve"> ADDIN EN.CITE </w:instrText>
      </w:r>
      <w:r w:rsidRPr="00A20A17">
        <w:rPr>
          <w:rFonts w:ascii="Calibri" w:eastAsia="Calibri" w:hAnsi="Calibri" w:cs="Arial"/>
          <w:i/>
          <w:iCs/>
          <w:color w:val="44546A"/>
          <w:sz w:val="18"/>
          <w:szCs w:val="18"/>
        </w:rPr>
        <w:fldChar w:fldCharType="begin">
          <w:fldData xml:space="preserve">PEVuZE5vdGU+PENpdGU+PEF1dGhvcj5BcmE8L0F1dGhvcj48WWVhcj4yMDEwPC9ZZWFyPjxJRFRl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</w:fldData>
        </w:fldChar>
      </w:r>
      <w:r w:rsidRPr="00A20A17">
        <w:rPr>
          <w:rFonts w:ascii="Calibri" w:eastAsia="Calibri" w:hAnsi="Calibri" w:cs="Arial"/>
          <w:i/>
          <w:iCs/>
          <w:color w:val="44546A"/>
          <w:sz w:val="18"/>
          <w:szCs w:val="18"/>
        </w:rPr>
        <w:instrText xml:space="preserve"> ADDIN EN.CITE.DATA </w:instrText>
      </w:r>
      <w:r w:rsidRPr="00A20A17">
        <w:rPr>
          <w:rFonts w:ascii="Calibri" w:eastAsia="Calibri" w:hAnsi="Calibri" w:cs="Arial"/>
          <w:i/>
          <w:iCs/>
          <w:color w:val="44546A"/>
          <w:sz w:val="18"/>
          <w:szCs w:val="18"/>
        </w:rPr>
      </w:r>
      <w:r w:rsidRPr="00A20A17">
        <w:rPr>
          <w:rFonts w:ascii="Calibri" w:eastAsia="Calibri" w:hAnsi="Calibri" w:cs="Arial"/>
          <w:i/>
          <w:iCs/>
          <w:color w:val="44546A"/>
          <w:sz w:val="18"/>
          <w:szCs w:val="18"/>
        </w:rPr>
        <w:fldChar w:fldCharType="end"/>
      </w:r>
      <w:r w:rsidRPr="00A20A17">
        <w:rPr>
          <w:rFonts w:ascii="Calibri" w:eastAsia="Calibri" w:hAnsi="Calibri" w:cs="Arial"/>
          <w:i/>
          <w:iCs/>
          <w:color w:val="44546A"/>
          <w:sz w:val="18"/>
          <w:szCs w:val="18"/>
        </w:rPr>
      </w:r>
      <w:r w:rsidRPr="00A20A17">
        <w:rPr>
          <w:rFonts w:ascii="Calibri" w:eastAsia="Calibri" w:hAnsi="Calibri" w:cs="Arial"/>
          <w:i/>
          <w:iCs/>
          <w:color w:val="44546A"/>
          <w:sz w:val="18"/>
          <w:szCs w:val="18"/>
        </w:rPr>
        <w:fldChar w:fldCharType="separate"/>
      </w:r>
      <w:r w:rsidRPr="00A20A17">
        <w:rPr>
          <w:rFonts w:ascii="Calibri" w:eastAsia="Calibri" w:hAnsi="Calibri" w:cs="Arial"/>
          <w:i/>
          <w:iCs/>
          <w:noProof/>
          <w:color w:val="44546A"/>
          <w:sz w:val="18"/>
          <w:szCs w:val="18"/>
          <w:vertAlign w:val="superscript"/>
        </w:rPr>
        <w:t>13,30</w:t>
      </w:r>
      <w:r w:rsidRPr="00A20A17">
        <w:rPr>
          <w:rFonts w:ascii="Calibri" w:eastAsia="Calibri" w:hAnsi="Calibri" w:cs="Arial"/>
          <w:i/>
          <w:iCs/>
          <w:color w:val="44546A"/>
          <w:sz w:val="18"/>
          <w:szCs w:val="18"/>
        </w:rPr>
        <w:fldChar w:fldCharType="end"/>
      </w:r>
      <w:r w:rsidRPr="00A20A17">
        <w:rPr>
          <w:rFonts w:ascii="Calibri" w:eastAsia="Calibri" w:hAnsi="Calibri" w:cs="Arial"/>
          <w:i/>
          <w:iCs/>
          <w:color w:val="44546A"/>
          <w:sz w:val="18"/>
          <w:szCs w:val="18"/>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2"/>
        <w:gridCol w:w="1174"/>
      </w:tblGrid>
      <w:tr w:rsidR="00FE37DB" w:rsidRPr="00A20A17" w14:paraId="69E0306F" w14:textId="77777777" w:rsidTr="00A80B48">
        <w:trPr>
          <w:trHeight w:val="300"/>
        </w:trPr>
        <w:tc>
          <w:tcPr>
            <w:tcW w:w="6222" w:type="dxa"/>
            <w:noWrap/>
            <w:hideMark/>
          </w:tcPr>
          <w:p w14:paraId="140655BE" w14:textId="77777777" w:rsidR="00FE37DB" w:rsidRPr="00A20A17" w:rsidRDefault="00FE37DB" w:rsidP="00A80B48">
            <w:pPr>
              <w:spacing w:after="120"/>
              <w:rPr>
                <w:rFonts w:ascii="Calibri" w:eastAsia="Calibri" w:hAnsi="Calibri" w:cs="Arial"/>
                <w:b/>
                <w:bCs/>
                <w:sz w:val="18"/>
                <w:szCs w:val="18"/>
              </w:rPr>
            </w:pPr>
            <w:r w:rsidRPr="00A20A17">
              <w:rPr>
                <w:rFonts w:ascii="Calibri" w:eastAsia="Calibri" w:hAnsi="Calibri" w:cs="Arial"/>
                <w:b/>
                <w:bCs/>
                <w:sz w:val="18"/>
                <w:szCs w:val="18"/>
              </w:rPr>
              <w:t>Health state</w:t>
            </w:r>
          </w:p>
        </w:tc>
        <w:tc>
          <w:tcPr>
            <w:tcW w:w="1174" w:type="dxa"/>
            <w:noWrap/>
            <w:hideMark/>
          </w:tcPr>
          <w:p w14:paraId="5214251A" w14:textId="77777777" w:rsidR="00FE37DB" w:rsidRPr="00A20A17" w:rsidRDefault="00FE37DB" w:rsidP="00A80B48">
            <w:pPr>
              <w:spacing w:after="120"/>
              <w:rPr>
                <w:rFonts w:ascii="Calibri" w:eastAsia="Calibri" w:hAnsi="Calibri" w:cs="Arial"/>
                <w:b/>
                <w:bCs/>
                <w:sz w:val="18"/>
                <w:szCs w:val="18"/>
              </w:rPr>
            </w:pPr>
            <w:r w:rsidRPr="00A20A17">
              <w:rPr>
                <w:rFonts w:ascii="Calibri" w:eastAsia="Calibri" w:hAnsi="Calibri" w:cs="Arial"/>
                <w:b/>
                <w:bCs/>
                <w:sz w:val="18"/>
                <w:szCs w:val="18"/>
              </w:rPr>
              <w:t> Input</w:t>
            </w:r>
          </w:p>
        </w:tc>
      </w:tr>
      <w:tr w:rsidR="00FE37DB" w:rsidRPr="00A20A17" w14:paraId="4C0AD56E" w14:textId="77777777" w:rsidTr="00A80B48">
        <w:trPr>
          <w:trHeight w:val="300"/>
        </w:trPr>
        <w:tc>
          <w:tcPr>
            <w:tcW w:w="6222" w:type="dxa"/>
            <w:noWrap/>
            <w:vAlign w:val="center"/>
          </w:tcPr>
          <w:p w14:paraId="58AEF1EE" w14:textId="77777777" w:rsidR="00FE37DB" w:rsidRPr="00A20A17" w:rsidRDefault="00FE37DB" w:rsidP="00A80B48">
            <w:pPr>
              <w:spacing w:after="120"/>
              <w:rPr>
                <w:rFonts w:ascii="Calibri" w:eastAsia="Calibri" w:hAnsi="Calibri" w:cs="Arial"/>
                <w:sz w:val="18"/>
                <w:szCs w:val="18"/>
              </w:rPr>
            </w:pPr>
            <w:r w:rsidRPr="00A20A17">
              <w:rPr>
                <w:rFonts w:ascii="Calibri" w:eastAsia="Calibri" w:hAnsi="Calibri" w:cs="Arial"/>
                <w:sz w:val="18"/>
                <w:szCs w:val="18"/>
              </w:rPr>
              <w:t>Non-fatal ACS year 1</w:t>
            </w:r>
          </w:p>
        </w:tc>
        <w:tc>
          <w:tcPr>
            <w:tcW w:w="1174" w:type="dxa"/>
            <w:noWrap/>
          </w:tcPr>
          <w:p w14:paraId="4A842EF9" w14:textId="77777777" w:rsidR="00FE37DB" w:rsidRPr="00A20A17" w:rsidRDefault="00FE37DB" w:rsidP="00A80B48">
            <w:pPr>
              <w:spacing w:after="120"/>
              <w:jc w:val="right"/>
              <w:rPr>
                <w:rFonts w:ascii="Calibri" w:eastAsia="Calibri" w:hAnsi="Calibri" w:cs="Arial"/>
                <w:sz w:val="18"/>
                <w:szCs w:val="18"/>
              </w:rPr>
            </w:pPr>
            <w:r w:rsidRPr="00A20A17">
              <w:rPr>
                <w:rFonts w:ascii="Calibri" w:eastAsia="Calibri" w:hAnsi="Calibri" w:cs="Arial"/>
                <w:sz w:val="18"/>
                <w:szCs w:val="18"/>
              </w:rPr>
              <w:t>0.72</w:t>
            </w:r>
          </w:p>
        </w:tc>
      </w:tr>
      <w:tr w:rsidR="00FE37DB" w:rsidRPr="00A20A17" w14:paraId="62098FAE" w14:textId="77777777" w:rsidTr="00A80B48">
        <w:trPr>
          <w:trHeight w:val="300"/>
        </w:trPr>
        <w:tc>
          <w:tcPr>
            <w:tcW w:w="6222" w:type="dxa"/>
            <w:noWrap/>
            <w:vAlign w:val="center"/>
          </w:tcPr>
          <w:p w14:paraId="56AAC808" w14:textId="77777777" w:rsidR="00FE37DB" w:rsidRPr="00A20A17" w:rsidRDefault="00FE37DB" w:rsidP="00A80B48">
            <w:pPr>
              <w:spacing w:after="120"/>
              <w:rPr>
                <w:rFonts w:ascii="Calibri" w:eastAsia="Calibri" w:hAnsi="Calibri" w:cs="Arial"/>
                <w:sz w:val="18"/>
                <w:szCs w:val="18"/>
              </w:rPr>
            </w:pPr>
            <w:r w:rsidRPr="00A20A17">
              <w:rPr>
                <w:rFonts w:ascii="Calibri" w:eastAsia="Calibri" w:hAnsi="Calibri" w:cs="Arial"/>
                <w:sz w:val="18"/>
                <w:szCs w:val="18"/>
              </w:rPr>
              <w:t>Non-fatal ACS year 2 and beyond</w:t>
            </w:r>
          </w:p>
        </w:tc>
        <w:tc>
          <w:tcPr>
            <w:tcW w:w="1174" w:type="dxa"/>
            <w:noWrap/>
          </w:tcPr>
          <w:p w14:paraId="70C8CA66" w14:textId="77777777" w:rsidR="00FE37DB" w:rsidRPr="00A20A17" w:rsidRDefault="00FE37DB" w:rsidP="00A80B48">
            <w:pPr>
              <w:spacing w:after="120"/>
              <w:jc w:val="right"/>
              <w:rPr>
                <w:rFonts w:ascii="Calibri" w:eastAsia="Calibri" w:hAnsi="Calibri" w:cs="Arial"/>
                <w:sz w:val="18"/>
                <w:szCs w:val="18"/>
              </w:rPr>
            </w:pPr>
            <w:r w:rsidRPr="00A20A17">
              <w:rPr>
                <w:rFonts w:ascii="Calibri" w:eastAsia="Calibri" w:hAnsi="Calibri" w:cs="Arial"/>
                <w:sz w:val="18"/>
                <w:szCs w:val="18"/>
              </w:rPr>
              <w:t>0.74</w:t>
            </w:r>
          </w:p>
        </w:tc>
      </w:tr>
      <w:tr w:rsidR="00FE37DB" w:rsidRPr="00A20A17" w14:paraId="3E22432A" w14:textId="77777777" w:rsidTr="00A80B48">
        <w:trPr>
          <w:trHeight w:val="300"/>
        </w:trPr>
        <w:tc>
          <w:tcPr>
            <w:tcW w:w="6222" w:type="dxa"/>
            <w:noWrap/>
            <w:vAlign w:val="center"/>
          </w:tcPr>
          <w:p w14:paraId="23DA0451" w14:textId="77777777" w:rsidR="00FE37DB" w:rsidRPr="00A20A17" w:rsidRDefault="00FE37DB" w:rsidP="00A80B48">
            <w:pPr>
              <w:spacing w:after="120"/>
              <w:rPr>
                <w:rFonts w:ascii="Calibri" w:eastAsia="Calibri" w:hAnsi="Calibri" w:cs="Arial"/>
                <w:sz w:val="18"/>
                <w:szCs w:val="18"/>
              </w:rPr>
            </w:pPr>
            <w:r w:rsidRPr="00A20A17">
              <w:rPr>
                <w:rFonts w:ascii="Calibri" w:eastAsia="Calibri" w:hAnsi="Calibri" w:cs="Arial"/>
                <w:sz w:val="18"/>
                <w:szCs w:val="18"/>
              </w:rPr>
              <w:t xml:space="preserve">Non-fatal IS/TIA year 1 </w:t>
            </w:r>
          </w:p>
        </w:tc>
        <w:tc>
          <w:tcPr>
            <w:tcW w:w="1174" w:type="dxa"/>
            <w:noWrap/>
          </w:tcPr>
          <w:p w14:paraId="7DE465CC" w14:textId="77777777" w:rsidR="00FE37DB" w:rsidRPr="00A20A17" w:rsidRDefault="00FE37DB" w:rsidP="00A80B48">
            <w:pPr>
              <w:spacing w:after="120"/>
              <w:jc w:val="right"/>
              <w:rPr>
                <w:rFonts w:ascii="Calibri" w:eastAsia="Calibri" w:hAnsi="Calibri" w:cs="Arial"/>
                <w:sz w:val="18"/>
                <w:szCs w:val="18"/>
              </w:rPr>
            </w:pPr>
            <w:r w:rsidRPr="00A20A17">
              <w:rPr>
                <w:rFonts w:ascii="Calibri" w:eastAsia="Calibri" w:hAnsi="Calibri" w:cs="Arial"/>
                <w:sz w:val="18"/>
                <w:szCs w:val="18"/>
              </w:rPr>
              <w:t>0.63</w:t>
            </w:r>
          </w:p>
        </w:tc>
      </w:tr>
      <w:tr w:rsidR="00FE37DB" w:rsidRPr="00A20A17" w14:paraId="740CD5A5" w14:textId="77777777" w:rsidTr="00A80B48">
        <w:trPr>
          <w:trHeight w:val="300"/>
        </w:trPr>
        <w:tc>
          <w:tcPr>
            <w:tcW w:w="6222" w:type="dxa"/>
            <w:noWrap/>
            <w:vAlign w:val="center"/>
          </w:tcPr>
          <w:p w14:paraId="43776611" w14:textId="77777777" w:rsidR="00FE37DB" w:rsidRPr="00A20A17" w:rsidRDefault="00FE37DB" w:rsidP="00A80B48">
            <w:pPr>
              <w:spacing w:after="120"/>
              <w:rPr>
                <w:rFonts w:ascii="Calibri" w:eastAsia="Calibri" w:hAnsi="Calibri" w:cs="Arial"/>
                <w:sz w:val="18"/>
                <w:szCs w:val="18"/>
              </w:rPr>
            </w:pPr>
            <w:r w:rsidRPr="00A20A17">
              <w:rPr>
                <w:rFonts w:ascii="Calibri" w:eastAsia="Calibri" w:hAnsi="Calibri" w:cs="Arial"/>
                <w:sz w:val="18"/>
                <w:szCs w:val="18"/>
              </w:rPr>
              <w:t>Non-fatal IS/TIA year 2 and beyond</w:t>
            </w:r>
          </w:p>
        </w:tc>
        <w:tc>
          <w:tcPr>
            <w:tcW w:w="1174" w:type="dxa"/>
            <w:noWrap/>
          </w:tcPr>
          <w:p w14:paraId="569382C6" w14:textId="77777777" w:rsidR="00FE37DB" w:rsidRPr="00A20A17" w:rsidRDefault="00FE37DB" w:rsidP="00A80B48">
            <w:pPr>
              <w:spacing w:after="120"/>
              <w:jc w:val="right"/>
              <w:rPr>
                <w:rFonts w:ascii="Calibri" w:eastAsia="Calibri" w:hAnsi="Calibri" w:cs="Arial"/>
                <w:sz w:val="18"/>
                <w:szCs w:val="18"/>
              </w:rPr>
            </w:pPr>
            <w:r w:rsidRPr="00A20A17">
              <w:rPr>
                <w:rFonts w:ascii="Calibri" w:eastAsia="Calibri" w:hAnsi="Calibri" w:cs="Arial"/>
                <w:sz w:val="18"/>
                <w:szCs w:val="18"/>
              </w:rPr>
              <w:t>0.67</w:t>
            </w:r>
          </w:p>
        </w:tc>
      </w:tr>
      <w:tr w:rsidR="00FE37DB" w:rsidRPr="00A20A17" w14:paraId="12B757C7" w14:textId="77777777" w:rsidTr="00A80B48">
        <w:trPr>
          <w:trHeight w:val="300"/>
        </w:trPr>
        <w:tc>
          <w:tcPr>
            <w:tcW w:w="7396" w:type="dxa"/>
            <w:gridSpan w:val="2"/>
            <w:noWrap/>
          </w:tcPr>
          <w:p w14:paraId="2B6D147A" w14:textId="77777777" w:rsidR="00FE37DB" w:rsidRPr="00A20A17" w:rsidRDefault="00FE37DB" w:rsidP="00A80B48">
            <w:pPr>
              <w:spacing w:after="120"/>
              <w:rPr>
                <w:rFonts w:ascii="Calibri" w:eastAsia="Calibri" w:hAnsi="Calibri" w:cs="Arial"/>
                <w:sz w:val="18"/>
                <w:szCs w:val="18"/>
              </w:rPr>
            </w:pPr>
            <w:r w:rsidRPr="00A20A17">
              <w:rPr>
                <w:rFonts w:ascii="Calibri" w:eastAsia="Calibri" w:hAnsi="Calibri" w:cs="Arial"/>
                <w:sz w:val="18"/>
                <w:szCs w:val="18"/>
              </w:rPr>
              <w:t>ACS: Acute Coronary Syndrome; IS: Ischaemic Stroke; TIA: Transient Ischaemic Attack.</w:t>
            </w:r>
          </w:p>
        </w:tc>
      </w:tr>
    </w:tbl>
    <w:p w14:paraId="1EAF1D66" w14:textId="77777777" w:rsidR="00FE37DB" w:rsidRPr="00A20A17" w:rsidRDefault="00FE37DB" w:rsidP="00FE37DB">
      <w:pPr>
        <w:spacing w:before="120" w:after="120"/>
        <w:rPr>
          <w:rFonts w:ascii="Calibri" w:eastAsia="Calibri" w:hAnsi="Calibri" w:cs="Arial"/>
        </w:rPr>
      </w:pPr>
    </w:p>
    <w:p w14:paraId="3F079D0F" w14:textId="77777777" w:rsidR="00FE37DB" w:rsidRPr="00A20A17" w:rsidRDefault="00FE37DB" w:rsidP="00FE37DB">
      <w:pPr>
        <w:spacing w:before="120" w:after="120"/>
        <w:rPr>
          <w:rFonts w:ascii="Calibri" w:eastAsia="Calibri" w:hAnsi="Calibri" w:cs="Arial"/>
        </w:rPr>
      </w:pPr>
    </w:p>
    <w:p w14:paraId="22211B79" w14:textId="77777777" w:rsidR="00FE37DB" w:rsidRPr="00A20A17" w:rsidRDefault="00FE37DB" w:rsidP="00FE37DB">
      <w:pPr>
        <w:keepNext/>
        <w:keepLines/>
        <w:numPr>
          <w:ilvl w:val="0"/>
          <w:numId w:val="6"/>
        </w:numPr>
        <w:spacing w:before="240" w:after="240"/>
        <w:ind w:left="0" w:firstLine="0"/>
        <w:outlineLvl w:val="0"/>
        <w:rPr>
          <w:rFonts w:ascii="Calibri Light" w:eastAsia="Calibri Light" w:hAnsi="Calibri Light" w:cs="Times New Roman"/>
          <w:color w:val="2F5496"/>
          <w:sz w:val="32"/>
          <w:szCs w:val="32"/>
        </w:rPr>
      </w:pPr>
      <w:bookmarkStart w:id="25" w:name="_Toc73625979"/>
      <w:r w:rsidRPr="00A20A17">
        <w:rPr>
          <w:rFonts w:ascii="Calibri Light" w:eastAsia="Calibri Light" w:hAnsi="Calibri Light" w:cs="Times New Roman"/>
          <w:color w:val="2F5496"/>
          <w:sz w:val="32"/>
          <w:szCs w:val="32"/>
        </w:rPr>
        <w:t>Validation</w:t>
      </w:r>
      <w:bookmarkEnd w:id="25"/>
    </w:p>
    <w:p w14:paraId="6B27AE52" w14:textId="77777777" w:rsidR="00FE37DB" w:rsidRPr="00A20A17" w:rsidRDefault="00FE37DB" w:rsidP="00FE37DB">
      <w:pPr>
        <w:keepNext/>
        <w:keepLines/>
        <w:spacing w:before="240" w:after="120"/>
        <w:outlineLvl w:val="1"/>
        <w:rPr>
          <w:rFonts w:ascii="Calibri Light" w:eastAsia="Calibri Light" w:hAnsi="Calibri Light" w:cs="Times New Roman"/>
          <w:color w:val="2F5496"/>
          <w:sz w:val="26"/>
          <w:szCs w:val="26"/>
        </w:rPr>
      </w:pPr>
      <w:bookmarkStart w:id="26" w:name="_Toc73625980"/>
      <w:r w:rsidRPr="00A20A17">
        <w:rPr>
          <w:rFonts w:ascii="Calibri Light" w:eastAsia="Calibri Light" w:hAnsi="Calibri Light" w:cs="Times New Roman"/>
          <w:color w:val="2F5496"/>
          <w:sz w:val="26"/>
          <w:szCs w:val="26"/>
        </w:rPr>
        <w:t xml:space="preserve">Advishe checklist </w:t>
      </w:r>
      <w:r w:rsidRPr="00A20A17">
        <w:rPr>
          <w:rFonts w:ascii="Calibri Light" w:eastAsia="Calibri Light" w:hAnsi="Calibri Light" w:cs="Times New Roman"/>
          <w:color w:val="2F5496"/>
          <w:sz w:val="26"/>
          <w:szCs w:val="26"/>
        </w:rPr>
        <w:fldChar w:fldCharType="begin"/>
      </w:r>
      <w:r w:rsidRPr="00A20A17">
        <w:rPr>
          <w:rFonts w:ascii="Calibri Light" w:eastAsia="Calibri Light" w:hAnsi="Calibri Light" w:cs="Times New Roman"/>
          <w:color w:val="2F5496"/>
          <w:sz w:val="26"/>
          <w:szCs w:val="26"/>
        </w:rPr>
        <w:instrText xml:space="preserve"> ADDIN EN.CITE &lt;EndNote&gt;&lt;Cite&gt;&lt;Author&gt;Vemer&lt;/Author&gt;&lt;Year&gt;2016&lt;/Year&gt;&lt;IDText&gt;AdViSHE: A Validation-Assessment Tool of Health-Economic Models for Decision Makers and Model Users&lt;/IDText&gt;&lt;DisplayText&gt;&lt;style face="superscript"&gt;31&lt;/style&gt;&lt;/DisplayText&gt;&lt;record&gt;&lt;dates&gt;&lt;pub-dates&gt;&lt;date&gt;Apr&lt;/date&gt;&lt;/pub-dates&gt;&lt;year&gt;2016&lt;/year&gt;&lt;/dates&gt;&lt;keywords&gt;&lt;keyword&gt;Cost-Benefit Analysis&lt;/keyword&gt;&lt;keyword&gt;Decision Support Techniques&lt;/keyword&gt;&lt;keyword&gt;Economics, Medical&lt;/keyword&gt;&lt;keyword&gt;Humans&lt;/keyword&gt;&lt;keyword&gt;Models, Economic&lt;/keyword&gt;&lt;keyword&gt;Validation Studies as Topic&lt;/keyword&gt;&lt;/keywords&gt;&lt;urls&gt;&lt;related-urls&gt;&lt;url&gt;https://www.ncbi.nlm.nih.gov/pubmed/26660529&lt;/url&gt;&lt;/related-urls&gt;&lt;/urls&gt;&lt;isbn&gt;1179-2027&lt;/isbn&gt;&lt;custom2&gt;PMC4796331&lt;/custom2&gt;&lt;titles&gt;&lt;title&gt;AdViSHE: A Validation-Assessment Tool of Health-Economic Models for Decision Makers and Model Users&lt;/title&gt;&lt;secondary-title&gt;Pharmacoeconomics&lt;/secondary-title&gt;&lt;/titles&gt;&lt;pages&gt;349-61&lt;/pages&gt;&lt;number&gt;4&lt;/number&gt;&lt;contributors&gt;&lt;authors&gt;&lt;author&gt;Vemer, P.&lt;/author&gt;&lt;author&gt;Corro Ramos, I.&lt;/author&gt;&lt;author&gt;van Voorn, G. A.&lt;/author&gt;&lt;author&gt;Al, M. J.&lt;/author&gt;&lt;author&gt;Feenstra, T. L.&lt;/author&gt;&lt;/authors&gt;&lt;/contributors&gt;&lt;language&gt;eng&lt;/language&gt;&lt;added-date format="utc"&gt;1621865333&lt;/added-date&gt;&lt;ref-type name="Journal Article"&gt;17&lt;/ref-type&gt;&lt;rec-number&gt;175&lt;/rec-number&gt;&lt;last-updated-date format="utc"&gt;1621865333&lt;/last-updated-date&gt;&lt;accession-num&gt;26660529&lt;/accession-num&gt;&lt;electronic-resource-num&gt;10.1007/s40273-015-0327-2&lt;/electronic-resource-num&gt;&lt;volume&gt;34&lt;/volume&gt;&lt;/record&gt;&lt;/Cite&gt;&lt;/EndNote&gt;</w:instrText>
      </w:r>
      <w:r w:rsidRPr="00A20A17">
        <w:rPr>
          <w:rFonts w:ascii="Calibri Light" w:eastAsia="Calibri Light" w:hAnsi="Calibri Light" w:cs="Times New Roman"/>
          <w:color w:val="2F5496"/>
          <w:sz w:val="26"/>
          <w:szCs w:val="26"/>
        </w:rPr>
        <w:fldChar w:fldCharType="separate"/>
      </w:r>
      <w:r w:rsidRPr="00A20A17">
        <w:rPr>
          <w:rFonts w:ascii="Calibri Light" w:eastAsia="Calibri Light" w:hAnsi="Calibri Light" w:cs="Times New Roman"/>
          <w:noProof/>
          <w:color w:val="2F5496"/>
          <w:sz w:val="26"/>
          <w:szCs w:val="26"/>
          <w:vertAlign w:val="superscript"/>
        </w:rPr>
        <w:t>31</w:t>
      </w:r>
      <w:bookmarkEnd w:id="26"/>
      <w:r w:rsidRPr="00A20A17">
        <w:rPr>
          <w:rFonts w:ascii="Calibri Light" w:eastAsia="Calibri Light" w:hAnsi="Calibri Light" w:cs="Times New Roman"/>
          <w:color w:val="2F5496"/>
          <w:sz w:val="26"/>
          <w:szCs w:val="26"/>
        </w:rPr>
        <w:fldChar w:fldCharType="end"/>
      </w:r>
    </w:p>
    <w:p w14:paraId="6C5776EC" w14:textId="77777777" w:rsidR="00FE37DB" w:rsidRPr="00A20A17" w:rsidRDefault="00FE37DB" w:rsidP="00FE37DB">
      <w:pPr>
        <w:keepNext/>
        <w:spacing w:before="120"/>
        <w:rPr>
          <w:rFonts w:ascii="Calibri" w:eastAsia="Calibri" w:hAnsi="Calibri" w:cs="Arial"/>
          <w:i/>
          <w:iCs/>
          <w:color w:val="44546A"/>
          <w:sz w:val="18"/>
          <w:szCs w:val="18"/>
        </w:rPr>
      </w:pPr>
      <w:r w:rsidRPr="00A20A17">
        <w:rPr>
          <w:rFonts w:ascii="Calibri" w:eastAsia="Calibri" w:hAnsi="Calibri" w:cs="Arial"/>
          <w:i/>
          <w:iCs/>
          <w:color w:val="44546A"/>
          <w:sz w:val="18"/>
          <w:szCs w:val="18"/>
        </w:rPr>
        <w:t xml:space="preserve">Table </w:t>
      </w:r>
      <w:r w:rsidRPr="00A20A17">
        <w:rPr>
          <w:rFonts w:ascii="Calibri" w:eastAsia="Calibri" w:hAnsi="Calibri" w:cs="Arial"/>
          <w:i/>
          <w:iCs/>
          <w:color w:val="44546A"/>
          <w:sz w:val="18"/>
          <w:szCs w:val="18"/>
        </w:rPr>
        <w:fldChar w:fldCharType="begin"/>
      </w:r>
      <w:r w:rsidRPr="00A20A17">
        <w:rPr>
          <w:rFonts w:ascii="Calibri" w:eastAsia="Calibri" w:hAnsi="Calibri" w:cs="Arial"/>
          <w:i/>
          <w:iCs/>
          <w:color w:val="44546A"/>
          <w:sz w:val="18"/>
          <w:szCs w:val="18"/>
        </w:rPr>
        <w:instrText>SEQ Table \* ARABIC</w:instrText>
      </w:r>
      <w:r w:rsidRPr="00A20A17">
        <w:rPr>
          <w:rFonts w:ascii="Calibri" w:eastAsia="Calibri" w:hAnsi="Calibri" w:cs="Arial"/>
          <w:i/>
          <w:iCs/>
          <w:color w:val="44546A"/>
          <w:sz w:val="18"/>
          <w:szCs w:val="18"/>
        </w:rPr>
        <w:fldChar w:fldCharType="separate"/>
      </w:r>
      <w:r w:rsidRPr="00A20A17">
        <w:rPr>
          <w:rFonts w:ascii="Calibri" w:eastAsia="Calibri" w:hAnsi="Calibri" w:cs="Arial"/>
          <w:i/>
          <w:iCs/>
          <w:noProof/>
          <w:color w:val="44546A"/>
          <w:sz w:val="18"/>
          <w:szCs w:val="18"/>
        </w:rPr>
        <w:t>26</w:t>
      </w:r>
      <w:r w:rsidRPr="00A20A17">
        <w:rPr>
          <w:rFonts w:ascii="Calibri" w:eastAsia="Calibri" w:hAnsi="Calibri" w:cs="Arial"/>
          <w:i/>
          <w:iCs/>
          <w:color w:val="44546A"/>
          <w:sz w:val="18"/>
          <w:szCs w:val="18"/>
        </w:rPr>
        <w:fldChar w:fldCharType="end"/>
      </w:r>
      <w:r w:rsidRPr="00A20A17">
        <w:rPr>
          <w:rFonts w:ascii="Calibri" w:eastAsia="Calibri" w:hAnsi="Calibri" w:cs="Arial"/>
          <w:i/>
          <w:iCs/>
          <w:color w:val="44546A"/>
          <w:sz w:val="18"/>
          <w:szCs w:val="18"/>
        </w:rPr>
        <w:t>: Advishe checklist for the cost-effectiveness model on the long-term health outcomes and costs of individuals with FH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0"/>
        <w:gridCol w:w="4626"/>
      </w:tblGrid>
      <w:tr w:rsidR="00FE37DB" w:rsidRPr="00A20A17" w14:paraId="03B8F6C2" w14:textId="77777777" w:rsidTr="00A80B48">
        <w:tc>
          <w:tcPr>
            <w:tcW w:w="4390" w:type="dxa"/>
          </w:tcPr>
          <w:p w14:paraId="727A34BE" w14:textId="77777777" w:rsidR="00FE37DB" w:rsidRPr="00A20A17" w:rsidRDefault="00FE37DB" w:rsidP="00A80B48">
            <w:pPr>
              <w:spacing w:before="60" w:after="60" w:line="240" w:lineRule="auto"/>
              <w:rPr>
                <w:rFonts w:ascii="Calibri" w:eastAsia="Calibri" w:hAnsi="Calibri" w:cs="Arial"/>
                <w:b/>
                <w:bCs/>
                <w:sz w:val="18"/>
                <w:szCs w:val="18"/>
              </w:rPr>
            </w:pPr>
            <w:r w:rsidRPr="00A20A17">
              <w:rPr>
                <w:rFonts w:ascii="Calibri" w:eastAsia="Calibri" w:hAnsi="Calibri" w:cs="Arial"/>
                <w:b/>
                <w:bCs/>
                <w:sz w:val="18"/>
                <w:szCs w:val="18"/>
              </w:rPr>
              <w:t>Question</w:t>
            </w:r>
          </w:p>
        </w:tc>
        <w:tc>
          <w:tcPr>
            <w:tcW w:w="4626" w:type="dxa"/>
          </w:tcPr>
          <w:p w14:paraId="55464459" w14:textId="77777777" w:rsidR="00FE37DB" w:rsidRPr="00A20A17" w:rsidRDefault="00FE37DB" w:rsidP="00A80B48">
            <w:pPr>
              <w:spacing w:before="60" w:after="60" w:line="240" w:lineRule="auto"/>
              <w:rPr>
                <w:rFonts w:ascii="Calibri" w:eastAsia="Calibri" w:hAnsi="Calibri" w:cs="Arial"/>
                <w:b/>
                <w:bCs/>
                <w:sz w:val="18"/>
                <w:szCs w:val="18"/>
              </w:rPr>
            </w:pPr>
            <w:r w:rsidRPr="00A20A17">
              <w:rPr>
                <w:rFonts w:ascii="Calibri" w:eastAsia="Calibri" w:hAnsi="Calibri" w:cs="Arial"/>
                <w:b/>
                <w:bCs/>
                <w:sz w:val="18"/>
                <w:szCs w:val="18"/>
              </w:rPr>
              <w:t>Answer</w:t>
            </w:r>
          </w:p>
        </w:tc>
      </w:tr>
      <w:tr w:rsidR="00FE37DB" w:rsidRPr="00A20A17" w14:paraId="2F7EC44E" w14:textId="77777777" w:rsidTr="00A80B48">
        <w:tc>
          <w:tcPr>
            <w:tcW w:w="9016" w:type="dxa"/>
            <w:gridSpan w:val="2"/>
            <w:shd w:val="clear" w:color="auto" w:fill="E7E6E6" w:themeFill="background2"/>
          </w:tcPr>
          <w:p w14:paraId="69DF1D95"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Part A: Validation of the conceptual model</w:t>
            </w:r>
          </w:p>
        </w:tc>
      </w:tr>
      <w:tr w:rsidR="00FE37DB" w:rsidRPr="00A20A17" w14:paraId="7C105288" w14:textId="77777777" w:rsidTr="00A80B48">
        <w:tc>
          <w:tcPr>
            <w:tcW w:w="4390" w:type="dxa"/>
          </w:tcPr>
          <w:p w14:paraId="2D3DC2BF"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A1: Have experts been asked to judge the appropriateness of the conceptual model?</w:t>
            </w:r>
          </w:p>
        </w:tc>
        <w:tc>
          <w:tcPr>
            <w:tcW w:w="4626" w:type="dxa"/>
          </w:tcPr>
          <w:p w14:paraId="3564EE22"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Yes, the stakeholder group agreed that the conceptual model was appropriate.</w:t>
            </w:r>
          </w:p>
        </w:tc>
      </w:tr>
      <w:tr w:rsidR="00FE37DB" w:rsidRPr="00A20A17" w14:paraId="0724E1D5" w14:textId="77777777" w:rsidTr="00A80B48">
        <w:tc>
          <w:tcPr>
            <w:tcW w:w="4390" w:type="dxa"/>
          </w:tcPr>
          <w:p w14:paraId="193B36DA"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A2: Has this model been compared to other conceptual models found in the literature or clinical textbook?</w:t>
            </w:r>
          </w:p>
        </w:tc>
        <w:tc>
          <w:tcPr>
            <w:tcW w:w="4626" w:type="dxa"/>
          </w:tcPr>
          <w:p w14:paraId="0FB3FE06"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Yes, we compared our conceptual model to other models in the literature. This is reported under Model structure.</w:t>
            </w:r>
          </w:p>
        </w:tc>
      </w:tr>
      <w:tr w:rsidR="00FE37DB" w:rsidRPr="00A20A17" w14:paraId="4F392E9C" w14:textId="77777777" w:rsidTr="00A80B48">
        <w:tc>
          <w:tcPr>
            <w:tcW w:w="9016" w:type="dxa"/>
            <w:gridSpan w:val="2"/>
            <w:shd w:val="clear" w:color="auto" w:fill="E7E6E6" w:themeFill="background2"/>
          </w:tcPr>
          <w:p w14:paraId="2CF85DF4"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Part B: Input data validation</w:t>
            </w:r>
          </w:p>
        </w:tc>
      </w:tr>
      <w:tr w:rsidR="00FE37DB" w:rsidRPr="00A20A17" w14:paraId="57C72421" w14:textId="77777777" w:rsidTr="00A80B48">
        <w:tc>
          <w:tcPr>
            <w:tcW w:w="4390" w:type="dxa"/>
          </w:tcPr>
          <w:p w14:paraId="5FBDEFC3"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B1: Have experts been asked to judge the appropriateness of the input data?</w:t>
            </w:r>
          </w:p>
        </w:tc>
        <w:tc>
          <w:tcPr>
            <w:tcW w:w="4626" w:type="dxa"/>
          </w:tcPr>
          <w:p w14:paraId="14A3E48F"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 xml:space="preserve">Yes, the same experts as in A1 reviewed the input data. The experts agreed that the appropriate data was used. </w:t>
            </w:r>
          </w:p>
          <w:p w14:paraId="6E83F7D2" w14:textId="77777777" w:rsidR="00FE37DB" w:rsidRPr="00A20A17" w:rsidRDefault="00FE37DB" w:rsidP="00A80B48">
            <w:pPr>
              <w:spacing w:before="60" w:after="60" w:line="240" w:lineRule="auto"/>
              <w:rPr>
                <w:rFonts w:ascii="Calibri" w:eastAsia="Calibri" w:hAnsi="Calibri" w:cs="Arial"/>
                <w:sz w:val="18"/>
                <w:szCs w:val="18"/>
              </w:rPr>
            </w:pPr>
          </w:p>
        </w:tc>
      </w:tr>
      <w:tr w:rsidR="00FE37DB" w:rsidRPr="00A20A17" w14:paraId="3E964747" w14:textId="77777777" w:rsidTr="00A80B48">
        <w:tc>
          <w:tcPr>
            <w:tcW w:w="4390" w:type="dxa"/>
          </w:tcPr>
          <w:p w14:paraId="0DC1F51C"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B2:  When input parameters are based on regression models, have statistical tests been performed?</w:t>
            </w:r>
          </w:p>
        </w:tc>
        <w:tc>
          <w:tcPr>
            <w:tcW w:w="4626" w:type="dxa"/>
          </w:tcPr>
          <w:p w14:paraId="64E4F4F5" w14:textId="77777777" w:rsidR="00FE37DB" w:rsidRPr="00A20A17" w:rsidRDefault="00FE37DB" w:rsidP="00A80B48">
            <w:pPr>
              <w:spacing w:before="60" w:after="60" w:line="240" w:lineRule="auto"/>
              <w:rPr>
                <w:rFonts w:ascii="Calibri" w:eastAsia="Calibri" w:hAnsi="Calibri" w:cs="Arial"/>
                <w:sz w:val="18"/>
                <w:szCs w:val="18"/>
              </w:rPr>
            </w:pPr>
            <w:r w:rsidRPr="0A306F63">
              <w:rPr>
                <w:rFonts w:ascii="Calibri" w:eastAsia="Calibri" w:hAnsi="Calibri" w:cs="Arial"/>
                <w:sz w:val="18"/>
                <w:szCs w:val="18"/>
              </w:rPr>
              <w:t>Yes, the statistical tests are reported in Section 11.2</w:t>
            </w:r>
            <w:r w:rsidRPr="0A306F63">
              <w:rPr>
                <w:rFonts w:ascii="Calibri" w:eastAsia="Calibri" w:hAnsi="Calibri" w:cs="Arial"/>
                <w:sz w:val="18"/>
                <w:szCs w:val="18"/>
                <w:highlight w:val="yellow"/>
              </w:rPr>
              <w:t>.</w:t>
            </w:r>
          </w:p>
        </w:tc>
      </w:tr>
      <w:tr w:rsidR="00FE37DB" w:rsidRPr="00A20A17" w14:paraId="7B994391" w14:textId="77777777" w:rsidTr="00A80B48">
        <w:tc>
          <w:tcPr>
            <w:tcW w:w="9016" w:type="dxa"/>
            <w:gridSpan w:val="2"/>
            <w:shd w:val="clear" w:color="auto" w:fill="E7E6E6" w:themeFill="background2"/>
          </w:tcPr>
          <w:p w14:paraId="26393454"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Part C: Validation of the computerised model</w:t>
            </w:r>
          </w:p>
        </w:tc>
      </w:tr>
      <w:tr w:rsidR="00FE37DB" w:rsidRPr="00A20A17" w14:paraId="0A232B1F" w14:textId="77777777" w:rsidTr="00A80B48">
        <w:tc>
          <w:tcPr>
            <w:tcW w:w="4390" w:type="dxa"/>
          </w:tcPr>
          <w:p w14:paraId="41C215B3"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C1: Has the computerised model been examined by modelling experts?</w:t>
            </w:r>
          </w:p>
        </w:tc>
        <w:tc>
          <w:tcPr>
            <w:tcW w:w="4626" w:type="dxa"/>
          </w:tcPr>
          <w:p w14:paraId="4DC74FF7"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 xml:space="preserve">Yes, the computerised model was examined by Beth Woods. BW is not an independent expert as she supervised the development of the cost-effectiveness model and collaborated in all economic analyses. </w:t>
            </w:r>
          </w:p>
          <w:p w14:paraId="72538BB2"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This verification identified issues around the implementation of scenarios on the effect of diagnosis on LDLC reductions, on the calculation of the number of deaths, on the calculation of the hazard rate for 1</w:t>
            </w:r>
            <w:r w:rsidRPr="00A20A17">
              <w:rPr>
                <w:rFonts w:ascii="Calibri" w:eastAsia="Calibri" w:hAnsi="Calibri" w:cs="Arial"/>
                <w:sz w:val="18"/>
                <w:szCs w:val="18"/>
                <w:vertAlign w:val="superscript"/>
              </w:rPr>
              <w:t>st</w:t>
            </w:r>
            <w:r w:rsidRPr="00A20A17">
              <w:rPr>
                <w:rFonts w:ascii="Calibri" w:eastAsia="Calibri" w:hAnsi="Calibri" w:cs="Arial"/>
                <w:sz w:val="18"/>
                <w:szCs w:val="18"/>
              </w:rPr>
              <w:t xml:space="preserve"> major CV event, the calculation of costs for the scenario accounting for recurrent events and in the calculation of costs of monitoring. These issues were addressed prior to conducting the tests reported in the TECH-VER checklist.</w:t>
            </w:r>
          </w:p>
        </w:tc>
      </w:tr>
      <w:tr w:rsidR="00FE37DB" w:rsidRPr="00A20A17" w14:paraId="6067CECD" w14:textId="77777777" w:rsidTr="00A80B48">
        <w:tc>
          <w:tcPr>
            <w:tcW w:w="4390" w:type="dxa"/>
          </w:tcPr>
          <w:p w14:paraId="0239F6B1"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C2: Has the model been run for specific, extreme sets of parameter values in order to detect any coding errors?</w:t>
            </w:r>
          </w:p>
        </w:tc>
        <w:tc>
          <w:tcPr>
            <w:tcW w:w="4626" w:type="dxa"/>
          </w:tcPr>
          <w:p w14:paraId="04B9A126"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Yes, the tests are reported in the TECH-VER checklist below.</w:t>
            </w:r>
          </w:p>
        </w:tc>
      </w:tr>
      <w:tr w:rsidR="00FE37DB" w:rsidRPr="00A20A17" w14:paraId="197A8D89" w14:textId="77777777" w:rsidTr="00A80B48">
        <w:tc>
          <w:tcPr>
            <w:tcW w:w="4390" w:type="dxa"/>
          </w:tcPr>
          <w:p w14:paraId="09756E73"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C3: Have individuals been tracked through the model to determine whether its logic is correct?</w:t>
            </w:r>
          </w:p>
        </w:tc>
        <w:tc>
          <w:tcPr>
            <w:tcW w:w="4626" w:type="dxa"/>
          </w:tcPr>
          <w:p w14:paraId="791AF01D"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 xml:space="preserve">Yes, the individuals were tracked through the model at various ages. </w:t>
            </w:r>
          </w:p>
        </w:tc>
      </w:tr>
      <w:tr w:rsidR="00FE37DB" w:rsidRPr="00A20A17" w14:paraId="61870628" w14:textId="77777777" w:rsidTr="00A80B48">
        <w:tc>
          <w:tcPr>
            <w:tcW w:w="4390" w:type="dxa"/>
          </w:tcPr>
          <w:p w14:paraId="0D948422"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C4: Have individual submodules of the computerised model been tested?</w:t>
            </w:r>
          </w:p>
        </w:tc>
        <w:tc>
          <w:tcPr>
            <w:tcW w:w="4626" w:type="dxa"/>
          </w:tcPr>
          <w:p w14:paraId="159DCB25"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Yes, the model trace was tested independently from the model macros. The model is functioning as expected.</w:t>
            </w:r>
          </w:p>
        </w:tc>
      </w:tr>
      <w:tr w:rsidR="00FE37DB" w:rsidRPr="00A20A17" w14:paraId="7DDEE95B" w14:textId="77777777" w:rsidTr="00A80B48">
        <w:tc>
          <w:tcPr>
            <w:tcW w:w="9016" w:type="dxa"/>
            <w:gridSpan w:val="2"/>
            <w:shd w:val="clear" w:color="auto" w:fill="E7E6E6" w:themeFill="background2"/>
          </w:tcPr>
          <w:p w14:paraId="140423D2"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Part D: Operational validation</w:t>
            </w:r>
          </w:p>
        </w:tc>
      </w:tr>
      <w:tr w:rsidR="00FE37DB" w:rsidRPr="00A20A17" w14:paraId="267E1B17" w14:textId="77777777" w:rsidTr="00A80B48">
        <w:tc>
          <w:tcPr>
            <w:tcW w:w="4390" w:type="dxa"/>
          </w:tcPr>
          <w:p w14:paraId="6BAB3F7E"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D1: Have experts been asked to judge the appropriateness of the model outcomes?</w:t>
            </w:r>
          </w:p>
        </w:tc>
        <w:tc>
          <w:tcPr>
            <w:tcW w:w="4626" w:type="dxa"/>
          </w:tcPr>
          <w:p w14:paraId="23AFB34B"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Yes, the stakeholder group reviewed the predictions of the model for individuals diagnosed with FH and agreed that these had face validity.</w:t>
            </w:r>
          </w:p>
        </w:tc>
      </w:tr>
      <w:tr w:rsidR="00FE37DB" w:rsidRPr="00A20A17" w14:paraId="6E5A79EB" w14:textId="77777777" w:rsidTr="00A80B48">
        <w:tc>
          <w:tcPr>
            <w:tcW w:w="4390" w:type="dxa"/>
            <w:shd w:val="clear" w:color="auto" w:fill="auto"/>
          </w:tcPr>
          <w:p w14:paraId="4EE208D6"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D2: Have the model outcomes been compared to the outcomes of other models that address similar problems?</w:t>
            </w:r>
          </w:p>
        </w:tc>
        <w:tc>
          <w:tcPr>
            <w:tcW w:w="4626" w:type="dxa"/>
            <w:shd w:val="clear" w:color="auto" w:fill="auto"/>
          </w:tcPr>
          <w:p w14:paraId="5079DE85"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Yes, this is reported in the discussion.</w:t>
            </w:r>
          </w:p>
        </w:tc>
      </w:tr>
      <w:tr w:rsidR="00FE37DB" w:rsidRPr="00A20A17" w14:paraId="54C8B216" w14:textId="77777777" w:rsidTr="00A80B48">
        <w:tc>
          <w:tcPr>
            <w:tcW w:w="4390" w:type="dxa"/>
          </w:tcPr>
          <w:p w14:paraId="200411E7"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D3: Have the model outcomes been compared to the outcomes obtained when using alternative input data?</w:t>
            </w:r>
          </w:p>
        </w:tc>
        <w:tc>
          <w:tcPr>
            <w:tcW w:w="4626" w:type="dxa"/>
          </w:tcPr>
          <w:p w14:paraId="572F8330"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Yes, via the scenario analysis (e.g. using alternative costs for health states, alternative source of health-related quality of life)</w:t>
            </w:r>
          </w:p>
        </w:tc>
      </w:tr>
      <w:tr w:rsidR="00FE37DB" w:rsidRPr="00A20A17" w14:paraId="094AF9C6" w14:textId="77777777" w:rsidTr="00A80B48">
        <w:tc>
          <w:tcPr>
            <w:tcW w:w="4390" w:type="dxa"/>
            <w:shd w:val="clear" w:color="auto" w:fill="auto"/>
          </w:tcPr>
          <w:p w14:paraId="3264D42E"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D4: Have the model outcomes been compared to empirical data?</w:t>
            </w:r>
          </w:p>
        </w:tc>
        <w:tc>
          <w:tcPr>
            <w:tcW w:w="4626" w:type="dxa"/>
          </w:tcPr>
          <w:p w14:paraId="612CA88C"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Yes, by comparing the outcomes of the model for two individual profiles to the outcomes predicted by the risk equations estimated from the CPRD data.</w:t>
            </w:r>
          </w:p>
        </w:tc>
      </w:tr>
      <w:tr w:rsidR="00FE37DB" w:rsidRPr="00A20A17" w14:paraId="31D179FF" w14:textId="77777777" w:rsidTr="00A80B48">
        <w:tc>
          <w:tcPr>
            <w:tcW w:w="9016" w:type="dxa"/>
            <w:gridSpan w:val="2"/>
            <w:shd w:val="clear" w:color="auto" w:fill="E7E6E6" w:themeFill="background2"/>
          </w:tcPr>
          <w:p w14:paraId="1C5CDE86"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Part E: Other validation techniques</w:t>
            </w:r>
          </w:p>
        </w:tc>
      </w:tr>
      <w:tr w:rsidR="00FE37DB" w:rsidRPr="00A20A17" w14:paraId="2165226C" w14:textId="77777777" w:rsidTr="00A80B48">
        <w:tc>
          <w:tcPr>
            <w:tcW w:w="4390" w:type="dxa"/>
          </w:tcPr>
          <w:p w14:paraId="4C41F1C5"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E1: Have any other validation techniques been performed?</w:t>
            </w:r>
          </w:p>
        </w:tc>
        <w:tc>
          <w:tcPr>
            <w:tcW w:w="4626" w:type="dxa"/>
          </w:tcPr>
          <w:p w14:paraId="18E4ED02"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No.</w:t>
            </w:r>
          </w:p>
        </w:tc>
      </w:tr>
      <w:tr w:rsidR="00FE37DB" w:rsidRPr="00A20A17" w14:paraId="7F719B40" w14:textId="77777777" w:rsidTr="00A80B48">
        <w:tc>
          <w:tcPr>
            <w:tcW w:w="9016" w:type="dxa"/>
            <w:gridSpan w:val="2"/>
          </w:tcPr>
          <w:p w14:paraId="3FE641A8"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Advishe: Assessment of the Validation Status of Health-Economic decision models. CV: Cardiovascular. CPRD: Clinical Practice Research Datalink. LDLC: Low Density Lipoprotein Cholesterol. TECH-VER: TECHnical VERification checklist.</w:t>
            </w:r>
          </w:p>
        </w:tc>
      </w:tr>
    </w:tbl>
    <w:p w14:paraId="445DE28E" w14:textId="77777777" w:rsidR="00FE37DB" w:rsidRPr="00A20A17" w:rsidRDefault="00FE37DB" w:rsidP="00FE37DB">
      <w:pPr>
        <w:spacing w:before="120" w:after="120"/>
        <w:rPr>
          <w:rFonts w:ascii="Calibri" w:eastAsia="Calibri" w:hAnsi="Calibri" w:cs="Arial"/>
        </w:rPr>
      </w:pPr>
    </w:p>
    <w:p w14:paraId="60C9489C" w14:textId="77777777" w:rsidR="00FE37DB" w:rsidRPr="00A20A17" w:rsidRDefault="00FE37DB" w:rsidP="00FE37DB">
      <w:pPr>
        <w:keepNext/>
        <w:keepLines/>
        <w:spacing w:before="240" w:after="120"/>
        <w:outlineLvl w:val="1"/>
        <w:rPr>
          <w:rFonts w:ascii="Calibri Light" w:eastAsia="Calibri Light" w:hAnsi="Calibri Light" w:cs="Times New Roman"/>
          <w:color w:val="2F5496"/>
          <w:sz w:val="26"/>
          <w:szCs w:val="26"/>
        </w:rPr>
      </w:pPr>
      <w:bookmarkStart w:id="27" w:name="_Toc73625981"/>
      <w:r w:rsidRPr="00A20A17">
        <w:rPr>
          <w:rFonts w:ascii="Calibri Light" w:eastAsia="Calibri Light" w:hAnsi="Calibri Light" w:cs="Times New Roman"/>
          <w:color w:val="2F5496"/>
          <w:sz w:val="26"/>
          <w:szCs w:val="26"/>
        </w:rPr>
        <w:t xml:space="preserve">TECH-VER checklist </w:t>
      </w:r>
      <w:r w:rsidRPr="00A20A17">
        <w:rPr>
          <w:rFonts w:ascii="Calibri Light" w:eastAsia="Calibri Light" w:hAnsi="Calibri Light" w:cs="Times New Roman"/>
          <w:color w:val="2F5496"/>
          <w:sz w:val="26"/>
          <w:szCs w:val="26"/>
        </w:rPr>
        <w:fldChar w:fldCharType="begin"/>
      </w:r>
      <w:r w:rsidRPr="00A20A17">
        <w:rPr>
          <w:rFonts w:ascii="Calibri Light" w:eastAsia="Calibri Light" w:hAnsi="Calibri Light" w:cs="Times New Roman"/>
          <w:color w:val="2F5496"/>
          <w:sz w:val="26"/>
          <w:szCs w:val="26"/>
        </w:rPr>
        <w:instrText xml:space="preserve"> ADDIN EN.CITE &lt;EndNote&gt;&lt;Cite&gt;&lt;Author&gt;Büyükkaramikli&lt;/Author&gt;&lt;Year&gt;2019&lt;/Year&gt;&lt;IDText&gt;TECH-VER: A Verification Checklist to Reduce Errors in Models and Improve Their Credibility&lt;/IDText&gt;&lt;DisplayText&gt;&lt;style face="superscript"&gt;32&lt;/style&gt;&lt;/DisplayText&gt;&lt;record&gt;&lt;dates&gt;&lt;pub-dates&gt;&lt;date&gt;11&lt;/date&gt;&lt;/pub-dates&gt;&lt;year&gt;2019&lt;/year&gt;&lt;/dates&gt;&lt;keywords&gt;&lt;keyword&gt;Checklist&lt;/keyword&gt;&lt;keyword&gt;Decision Support Techniques&lt;/keyword&gt;&lt;keyword&gt;Economics, Medical&lt;/keyword&gt;&lt;keyword&gt;Humans&lt;/keyword&gt;&lt;keyword&gt;Models, Economic&lt;/keyword&gt;&lt;keyword&gt;Reproducibility of Results&lt;/keyword&gt;&lt;keyword&gt;Software&lt;/keyword&gt;&lt;keyword&gt;Validation Studies as Topic&lt;/keyword&gt;&lt;/keywords&gt;&lt;urls&gt;&lt;related-urls&gt;&lt;url&gt;https://www.ncbi.nlm.nih.gov/pubmed/31705406&lt;/url&gt;&lt;/related-urls&gt;&lt;/urls&gt;&lt;isbn&gt;1179-2027&lt;/isbn&gt;&lt;custom2&gt;PMC6860463&lt;/custom2&gt;&lt;titles&gt;&lt;title&gt;TECH-VER: A Verification Checklist to Reduce Errors in Models and Improve Their Credibility&lt;/title&gt;&lt;secondary-title&gt;Pharmacoeconomics&lt;/secondary-title&gt;&lt;/titles&gt;&lt;pages&gt;1391-1408&lt;/pages&gt;&lt;number&gt;11&lt;/number&gt;&lt;contributors&gt;&lt;authors&gt;&lt;author&gt;Büyükkaramikli, N. C.&lt;/author&gt;&lt;author&gt;Rutten-van Mölken, M. P. M.H&lt;/author&gt;&lt;author&gt;Severens, J. L.&lt;/author&gt;&lt;author&gt;Al, M.&lt;/author&gt;&lt;/authors&gt;&lt;/contributors&gt;&lt;language&gt;eng&lt;/language&gt;&lt;added-date format="utc"&gt;1621865333&lt;/added-date&gt;&lt;ref-type name="Journal Article"&gt;17&lt;/ref-type&gt;&lt;rec-number&gt;174&lt;/rec-number&gt;&lt;last-updated-date format="utc"&gt;1621865333&lt;/last-updated-date&gt;&lt;accession-num&gt;31705406&lt;/accession-num&gt;&lt;electronic-resource-num&gt;10.1007/s40273-019-00844-y&lt;/electronic-resource-num&gt;&lt;volume&gt;37&lt;/volume&gt;&lt;/record&gt;&lt;/Cite&gt;&lt;/EndNote&gt;</w:instrText>
      </w:r>
      <w:r w:rsidRPr="00A20A17">
        <w:rPr>
          <w:rFonts w:ascii="Calibri Light" w:eastAsia="Calibri Light" w:hAnsi="Calibri Light" w:cs="Times New Roman"/>
          <w:color w:val="2F5496"/>
          <w:sz w:val="26"/>
          <w:szCs w:val="26"/>
        </w:rPr>
        <w:fldChar w:fldCharType="separate"/>
      </w:r>
      <w:r w:rsidRPr="00A20A17">
        <w:rPr>
          <w:rFonts w:ascii="Calibri Light" w:eastAsia="Calibri Light" w:hAnsi="Calibri Light" w:cs="Times New Roman"/>
          <w:noProof/>
          <w:color w:val="2F5496"/>
          <w:sz w:val="26"/>
          <w:szCs w:val="26"/>
          <w:vertAlign w:val="superscript"/>
        </w:rPr>
        <w:t>32</w:t>
      </w:r>
      <w:bookmarkEnd w:id="27"/>
      <w:r w:rsidRPr="00A20A17">
        <w:rPr>
          <w:rFonts w:ascii="Calibri Light" w:eastAsia="Calibri Light" w:hAnsi="Calibri Light" w:cs="Times New Roman"/>
          <w:color w:val="2F5496"/>
          <w:sz w:val="26"/>
          <w:szCs w:val="26"/>
        </w:rPr>
        <w:fldChar w:fldCharType="end"/>
      </w:r>
    </w:p>
    <w:p w14:paraId="24F37F83" w14:textId="77777777" w:rsidR="00FE37DB" w:rsidRPr="00A20A17" w:rsidRDefault="00FE37DB" w:rsidP="00FE37DB">
      <w:pPr>
        <w:keepNext/>
        <w:spacing w:before="120"/>
        <w:rPr>
          <w:rFonts w:ascii="Calibri" w:eastAsia="Calibri" w:hAnsi="Calibri" w:cs="Arial"/>
          <w:i/>
          <w:iCs/>
          <w:color w:val="44546A"/>
          <w:sz w:val="18"/>
          <w:szCs w:val="18"/>
        </w:rPr>
        <w:sectPr w:rsidR="00FE37DB" w:rsidRPr="00A20A17" w:rsidSect="002D643A">
          <w:pgSz w:w="11906" w:h="16838"/>
          <w:pgMar w:top="1440" w:right="1440" w:bottom="1440" w:left="1440" w:header="708" w:footer="708" w:gutter="0"/>
          <w:cols w:space="708"/>
          <w:docGrid w:linePitch="360"/>
        </w:sectPr>
      </w:pPr>
    </w:p>
    <w:p w14:paraId="2C6F7B37" w14:textId="77777777" w:rsidR="00FE37DB" w:rsidRPr="00A20A17" w:rsidRDefault="00FE37DB" w:rsidP="00FE37DB">
      <w:pPr>
        <w:keepNext/>
        <w:spacing w:before="120"/>
        <w:rPr>
          <w:rFonts w:ascii="Calibri" w:eastAsia="Calibri" w:hAnsi="Calibri" w:cs="Arial"/>
          <w:i/>
          <w:iCs/>
          <w:color w:val="44546A"/>
          <w:sz w:val="18"/>
          <w:szCs w:val="18"/>
        </w:rPr>
      </w:pPr>
      <w:r w:rsidRPr="00A20A17">
        <w:rPr>
          <w:rFonts w:ascii="Calibri" w:eastAsia="Calibri" w:hAnsi="Calibri" w:cs="Arial"/>
          <w:i/>
          <w:iCs/>
          <w:color w:val="44546A"/>
          <w:sz w:val="18"/>
          <w:szCs w:val="18"/>
        </w:rPr>
        <w:t xml:space="preserve">Table </w:t>
      </w:r>
      <w:r w:rsidRPr="00A20A17">
        <w:rPr>
          <w:rFonts w:ascii="Calibri" w:eastAsia="Calibri" w:hAnsi="Calibri" w:cs="Arial"/>
          <w:i/>
          <w:iCs/>
          <w:color w:val="44546A"/>
          <w:sz w:val="18"/>
          <w:szCs w:val="18"/>
        </w:rPr>
        <w:fldChar w:fldCharType="begin"/>
      </w:r>
      <w:r w:rsidRPr="00A20A17">
        <w:rPr>
          <w:rFonts w:ascii="Calibri" w:eastAsia="Calibri" w:hAnsi="Calibri" w:cs="Arial"/>
          <w:i/>
          <w:iCs/>
          <w:color w:val="44546A"/>
          <w:sz w:val="18"/>
          <w:szCs w:val="18"/>
        </w:rPr>
        <w:instrText>SEQ Table \* ARABIC</w:instrText>
      </w:r>
      <w:r w:rsidRPr="00A20A17">
        <w:rPr>
          <w:rFonts w:ascii="Calibri" w:eastAsia="Calibri" w:hAnsi="Calibri" w:cs="Arial"/>
          <w:i/>
          <w:iCs/>
          <w:color w:val="44546A"/>
          <w:sz w:val="18"/>
          <w:szCs w:val="18"/>
        </w:rPr>
        <w:fldChar w:fldCharType="separate"/>
      </w:r>
      <w:r w:rsidRPr="00A20A17">
        <w:rPr>
          <w:rFonts w:ascii="Calibri" w:eastAsia="Calibri" w:hAnsi="Calibri" w:cs="Arial"/>
          <w:i/>
          <w:iCs/>
          <w:noProof/>
          <w:color w:val="44546A"/>
          <w:sz w:val="18"/>
          <w:szCs w:val="18"/>
        </w:rPr>
        <w:t>27</w:t>
      </w:r>
      <w:r w:rsidRPr="00A20A17">
        <w:rPr>
          <w:rFonts w:ascii="Calibri" w:eastAsia="Calibri" w:hAnsi="Calibri" w:cs="Arial"/>
          <w:i/>
          <w:iCs/>
          <w:color w:val="44546A"/>
          <w:sz w:val="18"/>
          <w:szCs w:val="18"/>
        </w:rPr>
        <w:fldChar w:fldCharType="end"/>
      </w:r>
      <w:r w:rsidRPr="00A20A17">
        <w:rPr>
          <w:rFonts w:ascii="Calibri" w:eastAsia="Calibri" w:hAnsi="Calibri" w:cs="Arial"/>
          <w:i/>
          <w:iCs/>
          <w:color w:val="44546A"/>
          <w:sz w:val="18"/>
          <w:szCs w:val="18"/>
        </w:rPr>
        <w:t xml:space="preserve">: TECH-VER checklist </w:t>
      </w:r>
    </w:p>
    <w:tbl>
      <w:tblPr>
        <w:tblStyle w:val="TableGrid3"/>
        <w:tblW w:w="5000" w:type="pct"/>
        <w:tblLook w:val="04A0" w:firstRow="1" w:lastRow="0" w:firstColumn="1" w:lastColumn="0" w:noHBand="0" w:noVBand="1"/>
      </w:tblPr>
      <w:tblGrid>
        <w:gridCol w:w="7506"/>
        <w:gridCol w:w="1278"/>
        <w:gridCol w:w="5164"/>
      </w:tblGrid>
      <w:tr w:rsidR="00FE37DB" w:rsidRPr="00A20A17" w14:paraId="79A78112" w14:textId="77777777" w:rsidTr="00A80B48">
        <w:tc>
          <w:tcPr>
            <w:tcW w:w="2691" w:type="pct"/>
          </w:tcPr>
          <w:p w14:paraId="4BD6B06A" w14:textId="77777777" w:rsidR="00FE37DB" w:rsidRPr="00A20A17" w:rsidRDefault="00FE37DB" w:rsidP="00A80B48">
            <w:pPr>
              <w:spacing w:after="0" w:line="240" w:lineRule="auto"/>
              <w:rPr>
                <w:rFonts w:ascii="Calibri" w:hAnsi="Calibri" w:cs="Calibri"/>
                <w:b/>
                <w:bCs/>
                <w:szCs w:val="18"/>
              </w:rPr>
            </w:pPr>
            <w:r w:rsidRPr="00A20A17">
              <w:rPr>
                <w:rFonts w:ascii="Calibri" w:hAnsi="Calibri" w:cs="Calibri"/>
                <w:b/>
                <w:bCs/>
                <w:szCs w:val="18"/>
              </w:rPr>
              <w:t>Test description</w:t>
            </w:r>
          </w:p>
        </w:tc>
        <w:tc>
          <w:tcPr>
            <w:tcW w:w="458" w:type="pct"/>
          </w:tcPr>
          <w:p w14:paraId="063ABEA2" w14:textId="77777777" w:rsidR="00FE37DB" w:rsidRPr="00A20A17" w:rsidRDefault="00FE37DB" w:rsidP="00A80B48">
            <w:pPr>
              <w:spacing w:after="0" w:line="240" w:lineRule="auto"/>
              <w:rPr>
                <w:rFonts w:ascii="Calibri" w:hAnsi="Calibri" w:cs="Calibri"/>
                <w:b/>
                <w:bCs/>
                <w:szCs w:val="18"/>
              </w:rPr>
            </w:pPr>
            <w:r w:rsidRPr="00A20A17">
              <w:rPr>
                <w:rFonts w:ascii="Calibri" w:hAnsi="Calibri" w:cs="Calibri"/>
                <w:b/>
                <w:bCs/>
                <w:szCs w:val="18"/>
              </w:rPr>
              <w:t>Expected result</w:t>
            </w:r>
          </w:p>
        </w:tc>
        <w:tc>
          <w:tcPr>
            <w:tcW w:w="1851" w:type="pct"/>
          </w:tcPr>
          <w:p w14:paraId="16B00474" w14:textId="77777777" w:rsidR="00FE37DB" w:rsidRPr="00A20A17" w:rsidRDefault="00FE37DB" w:rsidP="00A80B48">
            <w:pPr>
              <w:spacing w:after="0" w:line="240" w:lineRule="auto"/>
              <w:rPr>
                <w:rFonts w:ascii="Calibri" w:hAnsi="Calibri" w:cs="Calibri"/>
                <w:b/>
                <w:bCs/>
                <w:szCs w:val="18"/>
              </w:rPr>
            </w:pPr>
            <w:r w:rsidRPr="00A20A17">
              <w:rPr>
                <w:rFonts w:ascii="Calibri" w:hAnsi="Calibri" w:cs="Calibri"/>
                <w:b/>
                <w:bCs/>
                <w:szCs w:val="18"/>
              </w:rPr>
              <w:t>Result</w:t>
            </w:r>
          </w:p>
        </w:tc>
      </w:tr>
      <w:tr w:rsidR="00FE37DB" w:rsidRPr="00A20A17" w14:paraId="399A52A0" w14:textId="77777777" w:rsidTr="00A80B48">
        <w:tc>
          <w:tcPr>
            <w:tcW w:w="2691" w:type="pct"/>
            <w:shd w:val="clear" w:color="auto" w:fill="E7E6E6"/>
          </w:tcPr>
          <w:p w14:paraId="2A0F92D1"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Pre-analysis calculations</w:t>
            </w:r>
          </w:p>
        </w:tc>
        <w:tc>
          <w:tcPr>
            <w:tcW w:w="458" w:type="pct"/>
            <w:shd w:val="clear" w:color="auto" w:fill="E7E6E6"/>
          </w:tcPr>
          <w:p w14:paraId="32801865" w14:textId="77777777" w:rsidR="00FE37DB" w:rsidRPr="00A20A17" w:rsidRDefault="00FE37DB" w:rsidP="00A80B48">
            <w:pPr>
              <w:spacing w:after="0" w:line="240" w:lineRule="auto"/>
              <w:rPr>
                <w:rFonts w:ascii="Calibri" w:hAnsi="Calibri" w:cs="Calibri"/>
                <w:szCs w:val="18"/>
              </w:rPr>
            </w:pPr>
          </w:p>
        </w:tc>
        <w:tc>
          <w:tcPr>
            <w:tcW w:w="1851" w:type="pct"/>
            <w:shd w:val="clear" w:color="auto" w:fill="E7E6E6"/>
          </w:tcPr>
          <w:p w14:paraId="7734A491" w14:textId="77777777" w:rsidR="00FE37DB" w:rsidRPr="00A20A17" w:rsidRDefault="00FE37DB" w:rsidP="00A80B48">
            <w:pPr>
              <w:spacing w:after="0" w:line="240" w:lineRule="auto"/>
              <w:rPr>
                <w:rFonts w:ascii="Calibri" w:hAnsi="Calibri" w:cs="Calibri"/>
                <w:szCs w:val="18"/>
              </w:rPr>
            </w:pPr>
          </w:p>
        </w:tc>
      </w:tr>
      <w:tr w:rsidR="00FE37DB" w:rsidRPr="00A20A17" w14:paraId="70619C0A" w14:textId="77777777" w:rsidTr="00A80B48">
        <w:tc>
          <w:tcPr>
            <w:tcW w:w="2691" w:type="pct"/>
          </w:tcPr>
          <w:p w14:paraId="70609904"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Does the technology (drug/device, etc.) acquisition cost increase with higher prices?</w:t>
            </w:r>
          </w:p>
        </w:tc>
        <w:tc>
          <w:tcPr>
            <w:tcW w:w="458" w:type="pct"/>
          </w:tcPr>
          <w:p w14:paraId="44DB26F0"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w:t>
            </w:r>
          </w:p>
        </w:tc>
        <w:tc>
          <w:tcPr>
            <w:tcW w:w="1851" w:type="pct"/>
          </w:tcPr>
          <w:p w14:paraId="2671A207"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 Tested by increasing the unit cost of LLT drugs. The cost of LLT increased.</w:t>
            </w:r>
          </w:p>
        </w:tc>
      </w:tr>
      <w:tr w:rsidR="00FE37DB" w:rsidRPr="00A20A17" w14:paraId="015B1082" w14:textId="77777777" w:rsidTr="00A80B48">
        <w:tc>
          <w:tcPr>
            <w:tcW w:w="2691" w:type="pct"/>
          </w:tcPr>
          <w:p w14:paraId="6BAC1FFE"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Does the probability of an event, derived from an OR/RR/HR and baseline probability, increase with higher OR/RR/HR?</w:t>
            </w:r>
          </w:p>
        </w:tc>
        <w:tc>
          <w:tcPr>
            <w:tcW w:w="458" w:type="pct"/>
          </w:tcPr>
          <w:p w14:paraId="455456EC"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w:t>
            </w:r>
          </w:p>
        </w:tc>
        <w:tc>
          <w:tcPr>
            <w:tcW w:w="1851" w:type="pct"/>
          </w:tcPr>
          <w:p w14:paraId="4F977B1E"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 xml:space="preserve">Yes. Tested in scenarios 8-10. When LDLC burden is not considered, and the CTTC relationship is used to inform the effect of LDLC reductions in CV risk, the counterfactual CV risk in undiagnosed/untreated individuals increases. </w:t>
            </w:r>
          </w:p>
        </w:tc>
      </w:tr>
      <w:tr w:rsidR="00FE37DB" w:rsidRPr="00A20A17" w14:paraId="731E556E" w14:textId="77777777" w:rsidTr="00A80B48">
        <w:tc>
          <w:tcPr>
            <w:tcW w:w="2691" w:type="pct"/>
          </w:tcPr>
          <w:p w14:paraId="1D950034"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 xml:space="preserve">Additional check not in TECH-VER: Do the survival model predictions in Excel match those obtained from R? </w:t>
            </w:r>
          </w:p>
        </w:tc>
        <w:tc>
          <w:tcPr>
            <w:tcW w:w="458" w:type="pct"/>
          </w:tcPr>
          <w:p w14:paraId="78358E79"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w:t>
            </w:r>
          </w:p>
        </w:tc>
        <w:tc>
          <w:tcPr>
            <w:tcW w:w="1851" w:type="pct"/>
          </w:tcPr>
          <w:p w14:paraId="39A7BD84"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 tested for 2 individual profiles.</w:t>
            </w:r>
          </w:p>
        </w:tc>
      </w:tr>
      <w:tr w:rsidR="00FE37DB" w:rsidRPr="00A20A17" w14:paraId="404161B2" w14:textId="77777777" w:rsidTr="00A80B48">
        <w:tc>
          <w:tcPr>
            <w:tcW w:w="2691" w:type="pct"/>
            <w:shd w:val="clear" w:color="auto" w:fill="E7E6E6"/>
          </w:tcPr>
          <w:p w14:paraId="6DC04D0D"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Event-state calculations</w:t>
            </w:r>
          </w:p>
        </w:tc>
        <w:tc>
          <w:tcPr>
            <w:tcW w:w="458" w:type="pct"/>
            <w:shd w:val="clear" w:color="auto" w:fill="E7E6E6"/>
          </w:tcPr>
          <w:p w14:paraId="0558E1BD" w14:textId="77777777" w:rsidR="00FE37DB" w:rsidRPr="00A20A17" w:rsidRDefault="00FE37DB" w:rsidP="00A80B48">
            <w:pPr>
              <w:spacing w:after="0" w:line="240" w:lineRule="auto"/>
              <w:rPr>
                <w:rFonts w:ascii="Calibri" w:hAnsi="Calibri" w:cs="Calibri"/>
                <w:szCs w:val="18"/>
              </w:rPr>
            </w:pPr>
          </w:p>
        </w:tc>
        <w:tc>
          <w:tcPr>
            <w:tcW w:w="1851" w:type="pct"/>
            <w:shd w:val="clear" w:color="auto" w:fill="E7E6E6"/>
          </w:tcPr>
          <w:p w14:paraId="3DD8C66F" w14:textId="77777777" w:rsidR="00FE37DB" w:rsidRPr="00A20A17" w:rsidRDefault="00FE37DB" w:rsidP="00A80B48">
            <w:pPr>
              <w:spacing w:after="0" w:line="240" w:lineRule="auto"/>
              <w:rPr>
                <w:rFonts w:ascii="Calibri" w:hAnsi="Calibri" w:cs="Calibri"/>
                <w:szCs w:val="18"/>
              </w:rPr>
            </w:pPr>
          </w:p>
        </w:tc>
      </w:tr>
      <w:tr w:rsidR="00FE37DB" w:rsidRPr="00A20A17" w14:paraId="44B3D05E" w14:textId="77777777" w:rsidTr="00A80B48">
        <w:tc>
          <w:tcPr>
            <w:tcW w:w="2691" w:type="pct"/>
          </w:tcPr>
          <w:p w14:paraId="274DCD8C"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The sum of the number of individuals at each health state should add up to the cohort size</w:t>
            </w:r>
          </w:p>
        </w:tc>
        <w:tc>
          <w:tcPr>
            <w:tcW w:w="458" w:type="pct"/>
          </w:tcPr>
          <w:p w14:paraId="6ED32C34"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w:t>
            </w:r>
          </w:p>
        </w:tc>
        <w:tc>
          <w:tcPr>
            <w:tcW w:w="1851" w:type="pct"/>
          </w:tcPr>
          <w:p w14:paraId="3653B782"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 Calculated in the trace.</w:t>
            </w:r>
          </w:p>
        </w:tc>
      </w:tr>
      <w:tr w:rsidR="00FE37DB" w:rsidRPr="00A20A17" w14:paraId="4CFB610D" w14:textId="77777777" w:rsidTr="00A80B48">
        <w:tc>
          <w:tcPr>
            <w:tcW w:w="2691" w:type="pct"/>
          </w:tcPr>
          <w:p w14:paraId="414D6D55"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Check if all probabilities and number of individuals in a state are greater than or equal to 0</w:t>
            </w:r>
          </w:p>
        </w:tc>
        <w:tc>
          <w:tcPr>
            <w:tcW w:w="458" w:type="pct"/>
          </w:tcPr>
          <w:p w14:paraId="52681EC9"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w:t>
            </w:r>
          </w:p>
        </w:tc>
        <w:tc>
          <w:tcPr>
            <w:tcW w:w="1851" w:type="pct"/>
          </w:tcPr>
          <w:p w14:paraId="7F71D4BD"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 Calculated in the trace.</w:t>
            </w:r>
          </w:p>
        </w:tc>
      </w:tr>
      <w:tr w:rsidR="00FE37DB" w:rsidRPr="00A20A17" w14:paraId="2457DE83" w14:textId="77777777" w:rsidTr="00A80B48">
        <w:tc>
          <w:tcPr>
            <w:tcW w:w="2691" w:type="pct"/>
          </w:tcPr>
          <w:p w14:paraId="62C71C71"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Check if all probabilities are smaller than or equal to 1</w:t>
            </w:r>
          </w:p>
        </w:tc>
        <w:tc>
          <w:tcPr>
            <w:tcW w:w="458" w:type="pct"/>
          </w:tcPr>
          <w:p w14:paraId="0B9B0A66"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w:t>
            </w:r>
          </w:p>
        </w:tc>
        <w:tc>
          <w:tcPr>
            <w:tcW w:w="1851" w:type="pct"/>
          </w:tcPr>
          <w:p w14:paraId="55EA9B62"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 Observed in the trace.</w:t>
            </w:r>
          </w:p>
        </w:tc>
      </w:tr>
      <w:tr w:rsidR="00FE37DB" w:rsidRPr="00A20A17" w14:paraId="1BA59ED8" w14:textId="77777777" w:rsidTr="00A80B48">
        <w:tc>
          <w:tcPr>
            <w:tcW w:w="2691" w:type="pct"/>
          </w:tcPr>
          <w:p w14:paraId="5A000E3F"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Are the number of dead individuals in the previous period smaller than the number of dead individuals in the subsequent period</w:t>
            </w:r>
          </w:p>
        </w:tc>
        <w:tc>
          <w:tcPr>
            <w:tcW w:w="458" w:type="pct"/>
          </w:tcPr>
          <w:p w14:paraId="4F2F6BBD"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w:t>
            </w:r>
          </w:p>
        </w:tc>
        <w:tc>
          <w:tcPr>
            <w:tcW w:w="1851" w:type="pct"/>
          </w:tcPr>
          <w:p w14:paraId="69451E3B"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 Calculated in the trace.</w:t>
            </w:r>
          </w:p>
        </w:tc>
      </w:tr>
      <w:tr w:rsidR="00FE37DB" w:rsidRPr="00A20A17" w14:paraId="0B96F11E" w14:textId="77777777" w:rsidTr="00A80B48">
        <w:tc>
          <w:tcPr>
            <w:tcW w:w="2691" w:type="pct"/>
          </w:tcPr>
          <w:p w14:paraId="3BCB7D0A"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In case of lifetime horizon, check if all individuals are dead at the end of the time horizon</w:t>
            </w:r>
          </w:p>
        </w:tc>
        <w:tc>
          <w:tcPr>
            <w:tcW w:w="458" w:type="pct"/>
          </w:tcPr>
          <w:p w14:paraId="0888C7CC"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w:t>
            </w:r>
          </w:p>
        </w:tc>
        <w:tc>
          <w:tcPr>
            <w:tcW w:w="1851" w:type="pct"/>
          </w:tcPr>
          <w:p w14:paraId="02658473"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 Calculated in the trace.</w:t>
            </w:r>
          </w:p>
        </w:tc>
      </w:tr>
      <w:tr w:rsidR="00FE37DB" w:rsidRPr="00A20A17" w14:paraId="6775BC46" w14:textId="77777777" w:rsidTr="00A80B48">
        <w:tc>
          <w:tcPr>
            <w:tcW w:w="2691" w:type="pct"/>
          </w:tcPr>
          <w:p w14:paraId="38ACCE5D"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 xml:space="preserve">Are the QALYs equal to the life years if the utilities are set to 1? </w:t>
            </w:r>
          </w:p>
        </w:tc>
        <w:tc>
          <w:tcPr>
            <w:tcW w:w="458" w:type="pct"/>
          </w:tcPr>
          <w:p w14:paraId="587594AD"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w:t>
            </w:r>
          </w:p>
        </w:tc>
        <w:tc>
          <w:tcPr>
            <w:tcW w:w="1851" w:type="pct"/>
          </w:tcPr>
          <w:p w14:paraId="31D585AB"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 Tested by setting the baseline utility = 1 and the utility related to post-events to zero.</w:t>
            </w:r>
          </w:p>
        </w:tc>
      </w:tr>
      <w:tr w:rsidR="00FE37DB" w:rsidRPr="00A20A17" w14:paraId="52C31736" w14:textId="77777777" w:rsidTr="00A80B48">
        <w:tc>
          <w:tcPr>
            <w:tcW w:w="2691" w:type="pct"/>
          </w:tcPr>
          <w:p w14:paraId="2AC4AA63"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Are the QALYs equal to zero if the utilities are set to zero?</w:t>
            </w:r>
          </w:p>
        </w:tc>
        <w:tc>
          <w:tcPr>
            <w:tcW w:w="458" w:type="pct"/>
          </w:tcPr>
          <w:p w14:paraId="55C97374"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w:t>
            </w:r>
          </w:p>
        </w:tc>
        <w:tc>
          <w:tcPr>
            <w:tcW w:w="1851" w:type="pct"/>
          </w:tcPr>
          <w:p w14:paraId="2C5EFAAA"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 Tested by setting the baseline utility = 0.</w:t>
            </w:r>
          </w:p>
        </w:tc>
      </w:tr>
      <w:tr w:rsidR="00FE37DB" w:rsidRPr="00A20A17" w14:paraId="14C508C4" w14:textId="77777777" w:rsidTr="00A80B48">
        <w:tc>
          <w:tcPr>
            <w:tcW w:w="2691" w:type="pct"/>
          </w:tcPr>
          <w:p w14:paraId="215E4916"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If state utilities are lower, are QALYs lower?</w:t>
            </w:r>
          </w:p>
        </w:tc>
        <w:tc>
          <w:tcPr>
            <w:tcW w:w="458" w:type="pct"/>
          </w:tcPr>
          <w:p w14:paraId="39269BFF"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w:t>
            </w:r>
          </w:p>
        </w:tc>
        <w:tc>
          <w:tcPr>
            <w:tcW w:w="1851" w:type="pct"/>
          </w:tcPr>
          <w:p w14:paraId="193B58A9"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 Tested by setting the utility related to post-events to a lower value.</w:t>
            </w:r>
          </w:p>
        </w:tc>
      </w:tr>
      <w:tr w:rsidR="00FE37DB" w:rsidRPr="00A20A17" w14:paraId="76032876" w14:textId="77777777" w:rsidTr="00A80B48">
        <w:tc>
          <w:tcPr>
            <w:tcW w:w="2691" w:type="pct"/>
          </w:tcPr>
          <w:p w14:paraId="65EDF19C"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Are costs zero if all costs are set to zero?</w:t>
            </w:r>
          </w:p>
        </w:tc>
        <w:tc>
          <w:tcPr>
            <w:tcW w:w="458" w:type="pct"/>
          </w:tcPr>
          <w:p w14:paraId="745AE687"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w:t>
            </w:r>
          </w:p>
        </w:tc>
        <w:tc>
          <w:tcPr>
            <w:tcW w:w="1851" w:type="pct"/>
          </w:tcPr>
          <w:p w14:paraId="5E4AC8B8"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 Tested by setting all costs to zero.</w:t>
            </w:r>
          </w:p>
        </w:tc>
      </w:tr>
      <w:tr w:rsidR="00FE37DB" w:rsidRPr="00A20A17" w14:paraId="3DF867A3" w14:textId="77777777" w:rsidTr="00A80B48">
        <w:tc>
          <w:tcPr>
            <w:tcW w:w="2691" w:type="pct"/>
          </w:tcPr>
          <w:p w14:paraId="72342D1A"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If mortality risk is set to zero, do individuals die?</w:t>
            </w:r>
          </w:p>
        </w:tc>
        <w:tc>
          <w:tcPr>
            <w:tcW w:w="458" w:type="pct"/>
          </w:tcPr>
          <w:p w14:paraId="56B3308F"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No</w:t>
            </w:r>
          </w:p>
        </w:tc>
        <w:tc>
          <w:tcPr>
            <w:tcW w:w="1851" w:type="pct"/>
          </w:tcPr>
          <w:p w14:paraId="335AD05E"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No. Tested by setting the mortality risk to zero.</w:t>
            </w:r>
          </w:p>
        </w:tc>
      </w:tr>
      <w:tr w:rsidR="00FE37DB" w:rsidRPr="00A20A17" w14:paraId="7FA22C52" w14:textId="77777777" w:rsidTr="00A80B48">
        <w:tc>
          <w:tcPr>
            <w:tcW w:w="2691" w:type="pct"/>
          </w:tcPr>
          <w:p w14:paraId="7DACA89C"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If mortality risk is set to 1, do all individuals die in the first cycle?</w:t>
            </w:r>
          </w:p>
        </w:tc>
        <w:tc>
          <w:tcPr>
            <w:tcW w:w="458" w:type="pct"/>
          </w:tcPr>
          <w:p w14:paraId="63CD650D"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w:t>
            </w:r>
          </w:p>
        </w:tc>
        <w:tc>
          <w:tcPr>
            <w:tcW w:w="1851" w:type="pct"/>
          </w:tcPr>
          <w:p w14:paraId="59AA91A4"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 Tested by changing the transition probability to death in cycle 1 to 1.</w:t>
            </w:r>
          </w:p>
        </w:tc>
      </w:tr>
      <w:tr w:rsidR="00FE37DB" w:rsidRPr="00A20A17" w14:paraId="359C6823" w14:textId="77777777" w:rsidTr="00A80B48">
        <w:tc>
          <w:tcPr>
            <w:tcW w:w="2691" w:type="pct"/>
          </w:tcPr>
          <w:p w14:paraId="0B8B4DA3"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If all decision options have the same effectiveness, are life years and QALYs the same?</w:t>
            </w:r>
          </w:p>
        </w:tc>
        <w:tc>
          <w:tcPr>
            <w:tcW w:w="458" w:type="pct"/>
          </w:tcPr>
          <w:p w14:paraId="7A2E25D3"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w:t>
            </w:r>
          </w:p>
        </w:tc>
        <w:tc>
          <w:tcPr>
            <w:tcW w:w="1851" w:type="pct"/>
          </w:tcPr>
          <w:p w14:paraId="576E1805"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 Tested by changing the reduction of LDLC due to diagnosis to zero.</w:t>
            </w:r>
          </w:p>
        </w:tc>
      </w:tr>
      <w:tr w:rsidR="00FE37DB" w:rsidRPr="00A20A17" w14:paraId="5749F38D" w14:textId="77777777" w:rsidTr="00A80B48">
        <w:tc>
          <w:tcPr>
            <w:tcW w:w="2691" w:type="pct"/>
          </w:tcPr>
          <w:p w14:paraId="4C53C4E8"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If all decision options have the same effectiveness and costs, are all results the same?</w:t>
            </w:r>
          </w:p>
        </w:tc>
        <w:tc>
          <w:tcPr>
            <w:tcW w:w="458" w:type="pct"/>
          </w:tcPr>
          <w:p w14:paraId="44B5C8FB"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w:t>
            </w:r>
          </w:p>
        </w:tc>
        <w:tc>
          <w:tcPr>
            <w:tcW w:w="1851" w:type="pct"/>
          </w:tcPr>
          <w:p w14:paraId="0CEC10B7"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 Tested by changing the reduction of LDLC due to diagnosis to zero and setting costs of monitoring, treatment and adverse effects to zero.</w:t>
            </w:r>
          </w:p>
        </w:tc>
      </w:tr>
      <w:tr w:rsidR="00FE37DB" w:rsidRPr="00A20A17" w14:paraId="59B99254" w14:textId="77777777" w:rsidTr="00A80B48">
        <w:tc>
          <w:tcPr>
            <w:tcW w:w="2691" w:type="pct"/>
          </w:tcPr>
          <w:p w14:paraId="4B115578"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Is the number of individuals alive in the model, the same or lower as in the general population?</w:t>
            </w:r>
          </w:p>
        </w:tc>
        <w:tc>
          <w:tcPr>
            <w:tcW w:w="458" w:type="pct"/>
          </w:tcPr>
          <w:p w14:paraId="7308AFFC"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w:t>
            </w:r>
          </w:p>
        </w:tc>
        <w:tc>
          <w:tcPr>
            <w:tcW w:w="1851" w:type="pct"/>
            <w:vMerge w:val="restart"/>
            <w:shd w:val="clear" w:color="auto" w:fill="auto"/>
          </w:tcPr>
          <w:p w14:paraId="2F545D1F"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 xml:space="preserve">Yes, if individuals are not diagnosed and treated. </w:t>
            </w:r>
          </w:p>
          <w:p w14:paraId="52852A6E"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The number of individuals alive in the model and the QALYs are similar to the general population if individuals are treated.</w:t>
            </w:r>
          </w:p>
        </w:tc>
      </w:tr>
      <w:tr w:rsidR="00FE37DB" w:rsidRPr="00A20A17" w14:paraId="412F4E20" w14:textId="77777777" w:rsidTr="00A80B48">
        <w:tc>
          <w:tcPr>
            <w:tcW w:w="2691" w:type="pct"/>
          </w:tcPr>
          <w:p w14:paraId="3F2F8E96"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Is the QALY at each cycle, the same or lower than the general population?</w:t>
            </w:r>
          </w:p>
        </w:tc>
        <w:tc>
          <w:tcPr>
            <w:tcW w:w="458" w:type="pct"/>
          </w:tcPr>
          <w:p w14:paraId="1E7DE3D1"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w:t>
            </w:r>
          </w:p>
        </w:tc>
        <w:tc>
          <w:tcPr>
            <w:tcW w:w="1851" w:type="pct"/>
            <w:vMerge/>
            <w:shd w:val="clear" w:color="auto" w:fill="auto"/>
          </w:tcPr>
          <w:p w14:paraId="5E997BCD" w14:textId="77777777" w:rsidR="00FE37DB" w:rsidRPr="00A20A17" w:rsidRDefault="00FE37DB" w:rsidP="00A80B48">
            <w:pPr>
              <w:spacing w:after="0" w:line="240" w:lineRule="auto"/>
              <w:rPr>
                <w:rFonts w:ascii="Calibri" w:hAnsi="Calibri" w:cs="Calibri"/>
                <w:szCs w:val="18"/>
              </w:rPr>
            </w:pPr>
          </w:p>
        </w:tc>
      </w:tr>
      <w:tr w:rsidR="00FE37DB" w:rsidRPr="00A20A17" w14:paraId="1A9FAD1C" w14:textId="77777777" w:rsidTr="00A80B48">
        <w:tc>
          <w:tcPr>
            <w:tcW w:w="2691" w:type="pct"/>
          </w:tcPr>
          <w:p w14:paraId="4ED4F59E"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If the inflation rate is higher, are the costs which are based on a reference from previous years higher too?</w:t>
            </w:r>
          </w:p>
        </w:tc>
        <w:tc>
          <w:tcPr>
            <w:tcW w:w="458" w:type="pct"/>
          </w:tcPr>
          <w:p w14:paraId="5ADF9FFD"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w:t>
            </w:r>
          </w:p>
        </w:tc>
        <w:tc>
          <w:tcPr>
            <w:tcW w:w="1851" w:type="pct"/>
          </w:tcPr>
          <w:p w14:paraId="500994D6"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 Tested by increasing the inflation factor of 2018/19.</w:t>
            </w:r>
          </w:p>
        </w:tc>
      </w:tr>
      <w:tr w:rsidR="00FE37DB" w:rsidRPr="00A20A17" w14:paraId="76BBD72A" w14:textId="77777777" w:rsidTr="00A80B48">
        <w:tc>
          <w:tcPr>
            <w:tcW w:w="2691" w:type="pct"/>
          </w:tcPr>
          <w:p w14:paraId="7AC0DD11"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Is the sum of all ingoing and outgoing transition probabilities in a state in a given cycle the same as the change in number of individuals?</w:t>
            </w:r>
          </w:p>
        </w:tc>
        <w:tc>
          <w:tcPr>
            <w:tcW w:w="458" w:type="pct"/>
          </w:tcPr>
          <w:p w14:paraId="53EDC378"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w:t>
            </w:r>
          </w:p>
        </w:tc>
        <w:tc>
          <w:tcPr>
            <w:tcW w:w="1851" w:type="pct"/>
          </w:tcPr>
          <w:p w14:paraId="6370BAD1"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 Tested in the well state.</w:t>
            </w:r>
          </w:p>
        </w:tc>
      </w:tr>
      <w:tr w:rsidR="00FE37DB" w:rsidRPr="00A20A17" w14:paraId="48B7B3B2" w14:textId="77777777" w:rsidTr="00A80B48">
        <w:tc>
          <w:tcPr>
            <w:tcW w:w="2691" w:type="pct"/>
          </w:tcPr>
          <w:p w14:paraId="1F3A4E09"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Are the number of individuals entering a tunnel state the same as the number of individuals leaving the tunnel state?</w:t>
            </w:r>
          </w:p>
        </w:tc>
        <w:tc>
          <w:tcPr>
            <w:tcW w:w="458" w:type="pct"/>
          </w:tcPr>
          <w:p w14:paraId="1AD078C7"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w:t>
            </w:r>
          </w:p>
        </w:tc>
        <w:tc>
          <w:tcPr>
            <w:tcW w:w="1851" w:type="pct"/>
          </w:tcPr>
          <w:p w14:paraId="4AB62509"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 Tested in the trace.</w:t>
            </w:r>
          </w:p>
        </w:tc>
      </w:tr>
      <w:tr w:rsidR="00FE37DB" w:rsidRPr="00A20A17" w14:paraId="75778A4E" w14:textId="77777777" w:rsidTr="00A80B48">
        <w:tc>
          <w:tcPr>
            <w:tcW w:w="2691" w:type="pct"/>
          </w:tcPr>
          <w:p w14:paraId="4A757CF2"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If the treatment acquisition cost is greater, are the costs greater?</w:t>
            </w:r>
          </w:p>
        </w:tc>
        <w:tc>
          <w:tcPr>
            <w:tcW w:w="458" w:type="pct"/>
          </w:tcPr>
          <w:p w14:paraId="18471C1E"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w:t>
            </w:r>
          </w:p>
        </w:tc>
        <w:tc>
          <w:tcPr>
            <w:tcW w:w="1851" w:type="pct"/>
          </w:tcPr>
          <w:p w14:paraId="7B0E7A52"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 Tested by increasing the costs of LLT.</w:t>
            </w:r>
          </w:p>
        </w:tc>
      </w:tr>
      <w:tr w:rsidR="00FE37DB" w:rsidRPr="00A20A17" w14:paraId="4ACA0A13" w14:textId="77777777" w:rsidTr="00A80B48">
        <w:tc>
          <w:tcPr>
            <w:tcW w:w="2691" w:type="pct"/>
          </w:tcPr>
          <w:p w14:paraId="0601CF8C"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Are the time conversions for probabilities conducted correctly?</w:t>
            </w:r>
          </w:p>
        </w:tc>
        <w:tc>
          <w:tcPr>
            <w:tcW w:w="458" w:type="pct"/>
          </w:tcPr>
          <w:p w14:paraId="0E83CF0E"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w:t>
            </w:r>
          </w:p>
        </w:tc>
        <w:tc>
          <w:tcPr>
            <w:tcW w:w="1851" w:type="pct"/>
          </w:tcPr>
          <w:p w14:paraId="71AB1178"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Not applicable as cycle is annual.</w:t>
            </w:r>
          </w:p>
        </w:tc>
      </w:tr>
      <w:tr w:rsidR="00FE37DB" w:rsidRPr="00A20A17" w14:paraId="0AFD142A" w14:textId="77777777" w:rsidTr="00A80B48">
        <w:tc>
          <w:tcPr>
            <w:tcW w:w="2691" w:type="pct"/>
            <w:shd w:val="clear" w:color="auto" w:fill="E7E6E6"/>
          </w:tcPr>
          <w:p w14:paraId="43F160E1"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Result calculations</w:t>
            </w:r>
          </w:p>
        </w:tc>
        <w:tc>
          <w:tcPr>
            <w:tcW w:w="458" w:type="pct"/>
            <w:shd w:val="clear" w:color="auto" w:fill="E7E6E6"/>
          </w:tcPr>
          <w:p w14:paraId="1E1E79BF" w14:textId="77777777" w:rsidR="00FE37DB" w:rsidRPr="00A20A17" w:rsidRDefault="00FE37DB" w:rsidP="00A80B48">
            <w:pPr>
              <w:spacing w:after="0" w:line="240" w:lineRule="auto"/>
              <w:rPr>
                <w:rFonts w:ascii="Calibri" w:hAnsi="Calibri" w:cs="Calibri"/>
                <w:szCs w:val="18"/>
              </w:rPr>
            </w:pPr>
          </w:p>
        </w:tc>
        <w:tc>
          <w:tcPr>
            <w:tcW w:w="1851" w:type="pct"/>
            <w:shd w:val="clear" w:color="auto" w:fill="E7E6E6"/>
          </w:tcPr>
          <w:p w14:paraId="12315E58" w14:textId="77777777" w:rsidR="00FE37DB" w:rsidRPr="00A20A17" w:rsidRDefault="00FE37DB" w:rsidP="00A80B48">
            <w:pPr>
              <w:spacing w:after="0" w:line="240" w:lineRule="auto"/>
              <w:rPr>
                <w:rFonts w:ascii="Calibri" w:hAnsi="Calibri" w:cs="Calibri"/>
                <w:szCs w:val="18"/>
              </w:rPr>
            </w:pPr>
          </w:p>
        </w:tc>
      </w:tr>
      <w:tr w:rsidR="00FE37DB" w:rsidRPr="00A20A17" w14:paraId="32CE3089" w14:textId="77777777" w:rsidTr="00A80B48">
        <w:tc>
          <w:tcPr>
            <w:tcW w:w="2691" w:type="pct"/>
          </w:tcPr>
          <w:p w14:paraId="29FB3998"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Do the more effective decision options yield greater QALYs and life years?</w:t>
            </w:r>
          </w:p>
        </w:tc>
        <w:tc>
          <w:tcPr>
            <w:tcW w:w="458" w:type="pct"/>
          </w:tcPr>
          <w:p w14:paraId="25DD47C0"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w:t>
            </w:r>
          </w:p>
        </w:tc>
        <w:tc>
          <w:tcPr>
            <w:tcW w:w="1851" w:type="pct"/>
          </w:tcPr>
          <w:p w14:paraId="351647D3"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 Tested in scenario 1.</w:t>
            </w:r>
          </w:p>
        </w:tc>
      </w:tr>
      <w:tr w:rsidR="00FE37DB" w:rsidRPr="00A20A17" w14:paraId="09AC4236" w14:textId="77777777" w:rsidTr="00A80B48">
        <w:tc>
          <w:tcPr>
            <w:tcW w:w="2691" w:type="pct"/>
          </w:tcPr>
          <w:p w14:paraId="2B28CB2B"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Do the more costly decision options yield greater treatment costs?</w:t>
            </w:r>
          </w:p>
        </w:tc>
        <w:tc>
          <w:tcPr>
            <w:tcW w:w="458" w:type="pct"/>
          </w:tcPr>
          <w:p w14:paraId="5706EA77"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w:t>
            </w:r>
          </w:p>
        </w:tc>
        <w:tc>
          <w:tcPr>
            <w:tcW w:w="1851" w:type="pct"/>
          </w:tcPr>
          <w:p w14:paraId="3F5DB9C3"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 Tested in scenario 25.</w:t>
            </w:r>
          </w:p>
        </w:tc>
      </w:tr>
      <w:tr w:rsidR="00FE37DB" w:rsidRPr="00A20A17" w14:paraId="0FB46BD2" w14:textId="77777777" w:rsidTr="00A80B48">
        <w:tc>
          <w:tcPr>
            <w:tcW w:w="2691" w:type="pct"/>
          </w:tcPr>
          <w:p w14:paraId="3074D953"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Are the total life years greater than the total QALYs?</w:t>
            </w:r>
          </w:p>
        </w:tc>
        <w:tc>
          <w:tcPr>
            <w:tcW w:w="458" w:type="pct"/>
          </w:tcPr>
          <w:p w14:paraId="0DC2187A"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w:t>
            </w:r>
          </w:p>
        </w:tc>
        <w:tc>
          <w:tcPr>
            <w:tcW w:w="1851" w:type="pct"/>
          </w:tcPr>
          <w:p w14:paraId="6A31B332"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 Observed in the results</w:t>
            </w:r>
          </w:p>
        </w:tc>
      </w:tr>
      <w:tr w:rsidR="00FE37DB" w:rsidRPr="00A20A17" w14:paraId="6ADF219C" w14:textId="77777777" w:rsidTr="00A80B48">
        <w:tc>
          <w:tcPr>
            <w:tcW w:w="2691" w:type="pct"/>
          </w:tcPr>
          <w:p w14:paraId="179904EC"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Are the undiscounted results greater than the discounted results?</w:t>
            </w:r>
          </w:p>
        </w:tc>
        <w:tc>
          <w:tcPr>
            <w:tcW w:w="458" w:type="pct"/>
          </w:tcPr>
          <w:p w14:paraId="645E9CF6"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w:t>
            </w:r>
          </w:p>
        </w:tc>
        <w:tc>
          <w:tcPr>
            <w:tcW w:w="1851" w:type="pct"/>
          </w:tcPr>
          <w:p w14:paraId="1CB8714C"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 Observed in the results</w:t>
            </w:r>
          </w:p>
        </w:tc>
      </w:tr>
      <w:tr w:rsidR="00FE37DB" w:rsidRPr="00A20A17" w14:paraId="5950455F" w14:textId="77777777" w:rsidTr="00A80B48">
        <w:tc>
          <w:tcPr>
            <w:tcW w:w="2691" w:type="pct"/>
          </w:tcPr>
          <w:p w14:paraId="0D1955EF"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Is the ratio of the undiscounted total QALYs to the undiscounted total life years within the max and min of the utility inputs?</w:t>
            </w:r>
          </w:p>
        </w:tc>
        <w:tc>
          <w:tcPr>
            <w:tcW w:w="458" w:type="pct"/>
          </w:tcPr>
          <w:p w14:paraId="200279D5"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w:t>
            </w:r>
          </w:p>
        </w:tc>
        <w:tc>
          <w:tcPr>
            <w:tcW w:w="1851" w:type="pct"/>
          </w:tcPr>
          <w:p w14:paraId="1A08A936"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 Calculated.</w:t>
            </w:r>
          </w:p>
        </w:tc>
      </w:tr>
      <w:tr w:rsidR="00FE37DB" w:rsidRPr="00A20A17" w14:paraId="779706F4" w14:textId="77777777" w:rsidTr="00A80B48">
        <w:tc>
          <w:tcPr>
            <w:tcW w:w="2691" w:type="pct"/>
          </w:tcPr>
          <w:p w14:paraId="778235A9"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Subgroup analysis results: Do subgroups with better baseline health have better outcomes?</w:t>
            </w:r>
          </w:p>
        </w:tc>
        <w:tc>
          <w:tcPr>
            <w:tcW w:w="458" w:type="pct"/>
          </w:tcPr>
          <w:p w14:paraId="595180AA"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w:t>
            </w:r>
          </w:p>
        </w:tc>
        <w:tc>
          <w:tcPr>
            <w:tcW w:w="1851" w:type="pct"/>
          </w:tcPr>
          <w:p w14:paraId="26C1E5BB"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 Observed in the results.</w:t>
            </w:r>
          </w:p>
        </w:tc>
      </w:tr>
      <w:tr w:rsidR="00FE37DB" w:rsidRPr="00A20A17" w14:paraId="2023BEC5" w14:textId="77777777" w:rsidTr="00A80B48">
        <w:tc>
          <w:tcPr>
            <w:tcW w:w="2691" w:type="pct"/>
          </w:tcPr>
          <w:p w14:paraId="77F2BE8A"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Do the disaggregated results sum to the total results?</w:t>
            </w:r>
          </w:p>
        </w:tc>
        <w:tc>
          <w:tcPr>
            <w:tcW w:w="458" w:type="pct"/>
          </w:tcPr>
          <w:p w14:paraId="3684B6BC"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w:t>
            </w:r>
          </w:p>
        </w:tc>
        <w:tc>
          <w:tcPr>
            <w:tcW w:w="1851" w:type="pct"/>
          </w:tcPr>
          <w:p w14:paraId="1C6314DA"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 Observed in the results.</w:t>
            </w:r>
          </w:p>
        </w:tc>
      </w:tr>
      <w:tr w:rsidR="00FE37DB" w:rsidRPr="00A20A17" w14:paraId="34FACC7E" w14:textId="77777777" w:rsidTr="00A80B48">
        <w:tc>
          <w:tcPr>
            <w:tcW w:w="2691" w:type="pct"/>
          </w:tcPr>
          <w:p w14:paraId="165A61A9"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Are the life years with half-cycle correction lower than the life years without?</w:t>
            </w:r>
          </w:p>
        </w:tc>
        <w:tc>
          <w:tcPr>
            <w:tcW w:w="458" w:type="pct"/>
          </w:tcPr>
          <w:p w14:paraId="24615EEC"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w:t>
            </w:r>
          </w:p>
        </w:tc>
        <w:tc>
          <w:tcPr>
            <w:tcW w:w="1851" w:type="pct"/>
          </w:tcPr>
          <w:p w14:paraId="468344FF"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Not calculated because life-years without half-cycle correction not recorded.</w:t>
            </w:r>
          </w:p>
        </w:tc>
      </w:tr>
      <w:tr w:rsidR="00FE37DB" w:rsidRPr="00A20A17" w14:paraId="4795D0C8" w14:textId="77777777" w:rsidTr="00A80B48">
        <w:tc>
          <w:tcPr>
            <w:tcW w:w="2691" w:type="pct"/>
          </w:tcPr>
          <w:p w14:paraId="1483E028"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Are the discounted results equal to undiscounted if the discount rate is set to zero?</w:t>
            </w:r>
          </w:p>
        </w:tc>
        <w:tc>
          <w:tcPr>
            <w:tcW w:w="458" w:type="pct"/>
          </w:tcPr>
          <w:p w14:paraId="223B24F7"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w:t>
            </w:r>
          </w:p>
        </w:tc>
        <w:tc>
          <w:tcPr>
            <w:tcW w:w="1851" w:type="pct"/>
          </w:tcPr>
          <w:p w14:paraId="5205E7AE"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 Observed in the results.</w:t>
            </w:r>
          </w:p>
        </w:tc>
      </w:tr>
      <w:tr w:rsidR="00FE37DB" w:rsidRPr="00A20A17" w14:paraId="18C55185" w14:textId="77777777" w:rsidTr="00A80B48">
        <w:tc>
          <w:tcPr>
            <w:tcW w:w="2691" w:type="pct"/>
          </w:tcPr>
          <w:p w14:paraId="597768F0"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If discount rates are higher, are the discounted results smaller?</w:t>
            </w:r>
          </w:p>
        </w:tc>
        <w:tc>
          <w:tcPr>
            <w:tcW w:w="458" w:type="pct"/>
          </w:tcPr>
          <w:p w14:paraId="5501A8B0"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w:t>
            </w:r>
          </w:p>
        </w:tc>
        <w:tc>
          <w:tcPr>
            <w:tcW w:w="1851" w:type="pct"/>
          </w:tcPr>
          <w:p w14:paraId="3BB13830"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 Observed in the results.</w:t>
            </w:r>
          </w:p>
        </w:tc>
      </w:tr>
      <w:tr w:rsidR="00FE37DB" w:rsidRPr="00A20A17" w14:paraId="55E48A36" w14:textId="77777777" w:rsidTr="00A80B48">
        <w:tc>
          <w:tcPr>
            <w:tcW w:w="2691" w:type="pct"/>
          </w:tcPr>
          <w:p w14:paraId="64D52B1D"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Is the ratio of the total undiscounted treatment cost to the average duration of treatment similar to the treatment-related unit acquisition cost?</w:t>
            </w:r>
          </w:p>
        </w:tc>
        <w:tc>
          <w:tcPr>
            <w:tcW w:w="458" w:type="pct"/>
          </w:tcPr>
          <w:p w14:paraId="60E3E288"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w:t>
            </w:r>
          </w:p>
        </w:tc>
        <w:tc>
          <w:tcPr>
            <w:tcW w:w="1851" w:type="pct"/>
          </w:tcPr>
          <w:p w14:paraId="217663EF"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No, it is lower. This is likely because the treatment-related costs are only recorded in the well state, and the proportion of people in the well state reduces over time.</w:t>
            </w:r>
          </w:p>
        </w:tc>
      </w:tr>
      <w:tr w:rsidR="00FE37DB" w:rsidRPr="00A20A17" w14:paraId="1CA05DFE" w14:textId="77777777" w:rsidTr="00A80B48">
        <w:tc>
          <w:tcPr>
            <w:tcW w:w="2691" w:type="pct"/>
          </w:tcPr>
          <w:p w14:paraId="3B9710E9"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If the effect of the decision option is doubled, is the incremental effect approximately doubled?</w:t>
            </w:r>
          </w:p>
        </w:tc>
        <w:tc>
          <w:tcPr>
            <w:tcW w:w="458" w:type="pct"/>
          </w:tcPr>
          <w:p w14:paraId="2D708593"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w:t>
            </w:r>
          </w:p>
        </w:tc>
        <w:tc>
          <w:tcPr>
            <w:tcW w:w="1851" w:type="pct"/>
          </w:tcPr>
          <w:p w14:paraId="50C12474"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 Calculated.</w:t>
            </w:r>
          </w:p>
        </w:tc>
      </w:tr>
      <w:tr w:rsidR="00FE37DB" w:rsidRPr="00A20A17" w14:paraId="4B740180" w14:textId="77777777" w:rsidTr="00A80B48">
        <w:tc>
          <w:tcPr>
            <w:tcW w:w="5000" w:type="pct"/>
            <w:gridSpan w:val="3"/>
            <w:shd w:val="clear" w:color="auto" w:fill="E7E6E6"/>
          </w:tcPr>
          <w:p w14:paraId="4F42A9AC"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i/>
                <w:iCs/>
                <w:szCs w:val="18"/>
              </w:rPr>
              <w:t>Uncertainty analysis</w:t>
            </w:r>
          </w:p>
        </w:tc>
      </w:tr>
      <w:tr w:rsidR="00FE37DB" w:rsidRPr="00A20A17" w14:paraId="30B8829E" w14:textId="77777777" w:rsidTr="00A80B48">
        <w:tc>
          <w:tcPr>
            <w:tcW w:w="2691" w:type="pct"/>
          </w:tcPr>
          <w:p w14:paraId="3C6A796C"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 xml:space="preserve">Are all necessary parameters subject to uncertainty included in the OWSA? </w:t>
            </w:r>
          </w:p>
        </w:tc>
        <w:tc>
          <w:tcPr>
            <w:tcW w:w="458" w:type="pct"/>
          </w:tcPr>
          <w:p w14:paraId="5BC0E99E"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w:t>
            </w:r>
          </w:p>
        </w:tc>
        <w:tc>
          <w:tcPr>
            <w:tcW w:w="1851" w:type="pct"/>
            <w:vMerge w:val="restart"/>
          </w:tcPr>
          <w:p w14:paraId="12CF33E2"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Not applicable as OWSA not conducted</w:t>
            </w:r>
          </w:p>
          <w:p w14:paraId="320624A4" w14:textId="77777777" w:rsidR="00FE37DB" w:rsidRPr="00A20A17" w:rsidRDefault="00FE37DB" w:rsidP="00A80B48">
            <w:pPr>
              <w:spacing w:after="0" w:line="240" w:lineRule="auto"/>
              <w:rPr>
                <w:rFonts w:ascii="Calibri" w:hAnsi="Calibri" w:cs="Calibri"/>
                <w:szCs w:val="18"/>
              </w:rPr>
            </w:pPr>
          </w:p>
        </w:tc>
      </w:tr>
      <w:tr w:rsidR="00FE37DB" w:rsidRPr="00A20A17" w14:paraId="77F579F4" w14:textId="77777777" w:rsidTr="00A80B48">
        <w:tc>
          <w:tcPr>
            <w:tcW w:w="2691" w:type="pct"/>
          </w:tcPr>
          <w:p w14:paraId="3177B57A"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Does the OWSA include any parameters associated with joint uncertainty?</w:t>
            </w:r>
          </w:p>
        </w:tc>
        <w:tc>
          <w:tcPr>
            <w:tcW w:w="458" w:type="pct"/>
          </w:tcPr>
          <w:p w14:paraId="5879C723"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w:t>
            </w:r>
          </w:p>
        </w:tc>
        <w:tc>
          <w:tcPr>
            <w:tcW w:w="1851" w:type="pct"/>
            <w:vMerge/>
          </w:tcPr>
          <w:p w14:paraId="52D95DEF" w14:textId="77777777" w:rsidR="00FE37DB" w:rsidRPr="00A20A17" w:rsidRDefault="00FE37DB" w:rsidP="00A80B48">
            <w:pPr>
              <w:spacing w:after="0" w:line="240" w:lineRule="auto"/>
              <w:rPr>
                <w:rFonts w:ascii="Calibri" w:hAnsi="Calibri" w:cs="Calibri"/>
                <w:szCs w:val="18"/>
              </w:rPr>
            </w:pPr>
          </w:p>
        </w:tc>
      </w:tr>
      <w:tr w:rsidR="00FE37DB" w:rsidRPr="00A20A17" w14:paraId="14D4A144" w14:textId="77777777" w:rsidTr="00A80B48">
        <w:tc>
          <w:tcPr>
            <w:tcW w:w="2691" w:type="pct"/>
          </w:tcPr>
          <w:p w14:paraId="1F548792"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Are the upper and lower bounds used in the one-way sensitivity analysis using confidence intervals based on the statistical distribution assumed for that parameter?</w:t>
            </w:r>
          </w:p>
        </w:tc>
        <w:tc>
          <w:tcPr>
            <w:tcW w:w="458" w:type="pct"/>
          </w:tcPr>
          <w:p w14:paraId="08E19E52"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w:t>
            </w:r>
          </w:p>
        </w:tc>
        <w:tc>
          <w:tcPr>
            <w:tcW w:w="1851" w:type="pct"/>
            <w:vMerge/>
          </w:tcPr>
          <w:p w14:paraId="52835EB2" w14:textId="77777777" w:rsidR="00FE37DB" w:rsidRPr="00A20A17" w:rsidRDefault="00FE37DB" w:rsidP="00A80B48">
            <w:pPr>
              <w:spacing w:after="0" w:line="240" w:lineRule="auto"/>
              <w:rPr>
                <w:rFonts w:ascii="Calibri" w:hAnsi="Calibri" w:cs="Calibri"/>
                <w:szCs w:val="18"/>
              </w:rPr>
            </w:pPr>
          </w:p>
        </w:tc>
      </w:tr>
      <w:tr w:rsidR="00FE37DB" w:rsidRPr="00A20A17" w14:paraId="39BED9AA" w14:textId="77777777" w:rsidTr="00A80B48">
        <w:tc>
          <w:tcPr>
            <w:tcW w:w="2691" w:type="pct"/>
          </w:tcPr>
          <w:p w14:paraId="3C3B75EF"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Are the resulting ICER, incremental costs/QALYs with upper and lower bound of a parameter plausible and in line with a priori expectations?</w:t>
            </w:r>
          </w:p>
        </w:tc>
        <w:tc>
          <w:tcPr>
            <w:tcW w:w="458" w:type="pct"/>
          </w:tcPr>
          <w:p w14:paraId="50282F8F"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w:t>
            </w:r>
          </w:p>
        </w:tc>
        <w:tc>
          <w:tcPr>
            <w:tcW w:w="1851" w:type="pct"/>
            <w:vMerge/>
          </w:tcPr>
          <w:p w14:paraId="30B563B5" w14:textId="77777777" w:rsidR="00FE37DB" w:rsidRPr="00A20A17" w:rsidRDefault="00FE37DB" w:rsidP="00A80B48">
            <w:pPr>
              <w:spacing w:after="0" w:line="240" w:lineRule="auto"/>
              <w:rPr>
                <w:rFonts w:ascii="Calibri" w:hAnsi="Calibri" w:cs="Calibri"/>
                <w:szCs w:val="18"/>
              </w:rPr>
            </w:pPr>
          </w:p>
        </w:tc>
      </w:tr>
      <w:tr w:rsidR="00FE37DB" w:rsidRPr="00A20A17" w14:paraId="4AC273E1" w14:textId="77777777" w:rsidTr="00A80B48">
        <w:tc>
          <w:tcPr>
            <w:tcW w:w="2691" w:type="pct"/>
          </w:tcPr>
          <w:p w14:paraId="69B13076"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Do all parameters used in the sensitivity analysis have appropriate associated distributions – upper and lower bounds should surround the deterministic value (i.e. upper bound ≥ mean ≥ lower bound)</w:t>
            </w:r>
          </w:p>
        </w:tc>
        <w:tc>
          <w:tcPr>
            <w:tcW w:w="458" w:type="pct"/>
          </w:tcPr>
          <w:p w14:paraId="4D9D19AD"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w:t>
            </w:r>
          </w:p>
        </w:tc>
        <w:tc>
          <w:tcPr>
            <w:tcW w:w="1851" w:type="pct"/>
            <w:vMerge/>
          </w:tcPr>
          <w:p w14:paraId="1EEED086" w14:textId="77777777" w:rsidR="00FE37DB" w:rsidRPr="00A20A17" w:rsidRDefault="00FE37DB" w:rsidP="00A80B48">
            <w:pPr>
              <w:spacing w:after="0" w:line="240" w:lineRule="auto"/>
              <w:rPr>
                <w:rFonts w:ascii="Calibri" w:hAnsi="Calibri" w:cs="Calibri"/>
                <w:szCs w:val="18"/>
              </w:rPr>
            </w:pPr>
          </w:p>
        </w:tc>
      </w:tr>
      <w:tr w:rsidR="00FE37DB" w:rsidRPr="00A20A17" w14:paraId="47EDA608" w14:textId="77777777" w:rsidTr="00A80B48">
        <w:tc>
          <w:tcPr>
            <w:tcW w:w="2691" w:type="pct"/>
          </w:tcPr>
          <w:p w14:paraId="20E4585B"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Standard error and not standard deviation used in sampling</w:t>
            </w:r>
          </w:p>
        </w:tc>
        <w:tc>
          <w:tcPr>
            <w:tcW w:w="458" w:type="pct"/>
          </w:tcPr>
          <w:p w14:paraId="731E57D3"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w:t>
            </w:r>
          </w:p>
        </w:tc>
        <w:tc>
          <w:tcPr>
            <w:tcW w:w="1851" w:type="pct"/>
          </w:tcPr>
          <w:p w14:paraId="6E1C1F67"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 checked.</w:t>
            </w:r>
          </w:p>
        </w:tc>
      </w:tr>
      <w:tr w:rsidR="00FE37DB" w:rsidRPr="00A20A17" w14:paraId="31602CB9" w14:textId="77777777" w:rsidTr="00A80B48">
        <w:tc>
          <w:tcPr>
            <w:tcW w:w="2691" w:type="pct"/>
          </w:tcPr>
          <w:p w14:paraId="0307653D"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Lognormal/gamma distribution for HRs and costs/resource use</w:t>
            </w:r>
          </w:p>
        </w:tc>
        <w:tc>
          <w:tcPr>
            <w:tcW w:w="458" w:type="pct"/>
          </w:tcPr>
          <w:p w14:paraId="4DC390F4"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w:t>
            </w:r>
          </w:p>
        </w:tc>
        <w:tc>
          <w:tcPr>
            <w:tcW w:w="1851" w:type="pct"/>
          </w:tcPr>
          <w:p w14:paraId="629CB888"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 checked.</w:t>
            </w:r>
          </w:p>
        </w:tc>
      </w:tr>
      <w:tr w:rsidR="00FE37DB" w:rsidRPr="00A20A17" w14:paraId="54806797" w14:textId="77777777" w:rsidTr="00A80B48">
        <w:tc>
          <w:tcPr>
            <w:tcW w:w="2691" w:type="pct"/>
          </w:tcPr>
          <w:p w14:paraId="51A07D96"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Beta for utilities and proportions/probabilities</w:t>
            </w:r>
          </w:p>
        </w:tc>
        <w:tc>
          <w:tcPr>
            <w:tcW w:w="458" w:type="pct"/>
          </w:tcPr>
          <w:p w14:paraId="14FECF2B"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w:t>
            </w:r>
          </w:p>
        </w:tc>
        <w:tc>
          <w:tcPr>
            <w:tcW w:w="1851" w:type="pct"/>
          </w:tcPr>
          <w:p w14:paraId="0E5E58C6"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 checked.</w:t>
            </w:r>
          </w:p>
        </w:tc>
      </w:tr>
      <w:tr w:rsidR="00FE37DB" w:rsidRPr="00A20A17" w14:paraId="38FC3A4F" w14:textId="77777777" w:rsidTr="00A80B48">
        <w:tc>
          <w:tcPr>
            <w:tcW w:w="2691" w:type="pct"/>
          </w:tcPr>
          <w:p w14:paraId="5D12E684"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Dirichlet for multinomial</w:t>
            </w:r>
          </w:p>
        </w:tc>
        <w:tc>
          <w:tcPr>
            <w:tcW w:w="458" w:type="pct"/>
          </w:tcPr>
          <w:p w14:paraId="39224DEA"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w:t>
            </w:r>
          </w:p>
        </w:tc>
        <w:tc>
          <w:tcPr>
            <w:tcW w:w="1851" w:type="pct"/>
          </w:tcPr>
          <w:p w14:paraId="7413DC6D"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 checked.</w:t>
            </w:r>
          </w:p>
        </w:tc>
      </w:tr>
      <w:tr w:rsidR="00FE37DB" w:rsidRPr="00A20A17" w14:paraId="6957B15D" w14:textId="77777777" w:rsidTr="00A80B48">
        <w:tc>
          <w:tcPr>
            <w:tcW w:w="2691" w:type="pct"/>
          </w:tcPr>
          <w:p w14:paraId="3F55B427"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Multivariate normal for correlated inputs</w:t>
            </w:r>
          </w:p>
        </w:tc>
        <w:tc>
          <w:tcPr>
            <w:tcW w:w="458" w:type="pct"/>
          </w:tcPr>
          <w:p w14:paraId="55ED12A2"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w:t>
            </w:r>
          </w:p>
        </w:tc>
        <w:tc>
          <w:tcPr>
            <w:tcW w:w="1851" w:type="pct"/>
          </w:tcPr>
          <w:p w14:paraId="02F0C239"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 checked.</w:t>
            </w:r>
          </w:p>
        </w:tc>
      </w:tr>
      <w:tr w:rsidR="00FE37DB" w:rsidRPr="00A20A17" w14:paraId="54B103EC" w14:textId="77777777" w:rsidTr="00A80B48">
        <w:tc>
          <w:tcPr>
            <w:tcW w:w="2691" w:type="pct"/>
          </w:tcPr>
          <w:p w14:paraId="643C2084"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Normal for other variables as long as samples do not violate the requirement to remain positive when appropriate</w:t>
            </w:r>
          </w:p>
        </w:tc>
        <w:tc>
          <w:tcPr>
            <w:tcW w:w="458" w:type="pct"/>
          </w:tcPr>
          <w:p w14:paraId="71B84FBA"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w:t>
            </w:r>
          </w:p>
        </w:tc>
        <w:tc>
          <w:tcPr>
            <w:tcW w:w="1851" w:type="pct"/>
          </w:tcPr>
          <w:p w14:paraId="46D7825D"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 lognormal for rate ratios.</w:t>
            </w:r>
          </w:p>
        </w:tc>
      </w:tr>
      <w:tr w:rsidR="00FE37DB" w:rsidRPr="00A20A17" w14:paraId="5BD101CC" w14:textId="77777777" w:rsidTr="00A80B48">
        <w:tc>
          <w:tcPr>
            <w:tcW w:w="2691" w:type="pct"/>
          </w:tcPr>
          <w:p w14:paraId="25F06248"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Check PSA output mean costs, QALYs, and ICER compared with the deterministic results. Is there a large discrepancy?</w:t>
            </w:r>
          </w:p>
        </w:tc>
        <w:tc>
          <w:tcPr>
            <w:tcW w:w="458" w:type="pct"/>
          </w:tcPr>
          <w:p w14:paraId="11F72D11"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No</w:t>
            </w:r>
          </w:p>
        </w:tc>
        <w:tc>
          <w:tcPr>
            <w:tcW w:w="1851" w:type="pct"/>
          </w:tcPr>
          <w:p w14:paraId="52888E89"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No. Observed in the results.</w:t>
            </w:r>
          </w:p>
        </w:tc>
      </w:tr>
      <w:tr w:rsidR="00FE37DB" w:rsidRPr="00A20A17" w14:paraId="1083831D" w14:textId="77777777" w:rsidTr="00A80B48">
        <w:tc>
          <w:tcPr>
            <w:tcW w:w="2691" w:type="pct"/>
          </w:tcPr>
          <w:p w14:paraId="7C3EDBC1"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If you take new PSA runs from the Microsoft Excel model do you get similar results?</w:t>
            </w:r>
          </w:p>
        </w:tc>
        <w:tc>
          <w:tcPr>
            <w:tcW w:w="458" w:type="pct"/>
          </w:tcPr>
          <w:p w14:paraId="1281637E"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w:t>
            </w:r>
          </w:p>
        </w:tc>
        <w:tc>
          <w:tcPr>
            <w:tcW w:w="1851" w:type="pct"/>
          </w:tcPr>
          <w:p w14:paraId="08D28D4D"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w:t>
            </w:r>
          </w:p>
        </w:tc>
      </w:tr>
      <w:tr w:rsidR="00FE37DB" w:rsidRPr="00A20A17" w14:paraId="305E74F2" w14:textId="77777777" w:rsidTr="00A80B48">
        <w:tc>
          <w:tcPr>
            <w:tcW w:w="2691" w:type="pct"/>
          </w:tcPr>
          <w:p w14:paraId="2049B598"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Is(are) the CEAC line(s) in line with the CE scatter plots and the efficient frontier?</w:t>
            </w:r>
          </w:p>
        </w:tc>
        <w:tc>
          <w:tcPr>
            <w:tcW w:w="458" w:type="pct"/>
          </w:tcPr>
          <w:p w14:paraId="46C85BB0"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w:t>
            </w:r>
          </w:p>
        </w:tc>
        <w:tc>
          <w:tcPr>
            <w:tcW w:w="1851" w:type="pct"/>
          </w:tcPr>
          <w:p w14:paraId="0F72561E"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 in line with the scatter plots. Not compared with the efficiency frontier.</w:t>
            </w:r>
          </w:p>
        </w:tc>
      </w:tr>
      <w:tr w:rsidR="00FE37DB" w:rsidRPr="00A20A17" w14:paraId="6CF7FE94" w14:textId="77777777" w:rsidTr="00A80B48">
        <w:tc>
          <w:tcPr>
            <w:tcW w:w="2691" w:type="pct"/>
          </w:tcPr>
          <w:p w14:paraId="32B93CA9"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Does the PSA cloud demonstrate an unexpected behaviour or have an unusual shape?</w:t>
            </w:r>
          </w:p>
        </w:tc>
        <w:tc>
          <w:tcPr>
            <w:tcW w:w="458" w:type="pct"/>
          </w:tcPr>
          <w:p w14:paraId="0758E395"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No</w:t>
            </w:r>
          </w:p>
        </w:tc>
        <w:tc>
          <w:tcPr>
            <w:tcW w:w="1851" w:type="pct"/>
          </w:tcPr>
          <w:p w14:paraId="781F89D7"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No</w:t>
            </w:r>
          </w:p>
        </w:tc>
      </w:tr>
      <w:tr w:rsidR="00FE37DB" w:rsidRPr="00A20A17" w14:paraId="7609A7D2" w14:textId="77777777" w:rsidTr="00A80B48">
        <w:tc>
          <w:tcPr>
            <w:tcW w:w="2691" w:type="pct"/>
          </w:tcPr>
          <w:p w14:paraId="00EE6F2D"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Is the sum of all CEAC lines equal to 1 for all WTP values?</w:t>
            </w:r>
          </w:p>
        </w:tc>
        <w:tc>
          <w:tcPr>
            <w:tcW w:w="458" w:type="pct"/>
          </w:tcPr>
          <w:p w14:paraId="562BCB1E"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w:t>
            </w:r>
          </w:p>
        </w:tc>
        <w:tc>
          <w:tcPr>
            <w:tcW w:w="1851" w:type="pct"/>
          </w:tcPr>
          <w:p w14:paraId="691C1976"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Not calculated as only two comparators.</w:t>
            </w:r>
          </w:p>
        </w:tc>
      </w:tr>
      <w:tr w:rsidR="00FE37DB" w:rsidRPr="00A20A17" w14:paraId="52DCBF1E" w14:textId="77777777" w:rsidTr="00A80B48">
        <w:tc>
          <w:tcPr>
            <w:tcW w:w="2691" w:type="pct"/>
          </w:tcPr>
          <w:p w14:paraId="6B7808F7"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Do the explored scenario analyses provide a balanced view on the structural uncertainty (i.e. not always looking at more optimistic scenarios)?</w:t>
            </w:r>
          </w:p>
        </w:tc>
        <w:tc>
          <w:tcPr>
            <w:tcW w:w="458" w:type="pct"/>
          </w:tcPr>
          <w:p w14:paraId="76FCD84C"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w:t>
            </w:r>
          </w:p>
        </w:tc>
        <w:tc>
          <w:tcPr>
            <w:tcW w:w="1851" w:type="pct"/>
          </w:tcPr>
          <w:p w14:paraId="5D02E374"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w:t>
            </w:r>
          </w:p>
        </w:tc>
      </w:tr>
      <w:tr w:rsidR="00FE37DB" w:rsidRPr="00A20A17" w14:paraId="29309444" w14:textId="77777777" w:rsidTr="00A80B48">
        <w:tc>
          <w:tcPr>
            <w:tcW w:w="2691" w:type="pct"/>
          </w:tcPr>
          <w:p w14:paraId="799CC3E7"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Are the scenario analysis results plausible and in line with a priori expectations?</w:t>
            </w:r>
          </w:p>
        </w:tc>
        <w:tc>
          <w:tcPr>
            <w:tcW w:w="458" w:type="pct"/>
          </w:tcPr>
          <w:p w14:paraId="0E14653D"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w:t>
            </w:r>
          </w:p>
        </w:tc>
        <w:tc>
          <w:tcPr>
            <w:tcW w:w="1851" w:type="pct"/>
          </w:tcPr>
          <w:p w14:paraId="3F7C936D"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w:t>
            </w:r>
          </w:p>
        </w:tc>
      </w:tr>
      <w:tr w:rsidR="00FE37DB" w:rsidRPr="00A20A17" w14:paraId="134DCA83" w14:textId="77777777" w:rsidTr="00A80B48">
        <w:tc>
          <w:tcPr>
            <w:tcW w:w="2691" w:type="pct"/>
          </w:tcPr>
          <w:p w14:paraId="47B4BC1C"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Check the correlation between two PSA results (i.e. costs/QALYs under the SoC and costs/QALYs under the comparator). Should be very low (very high) if different (same) random streams are used for different arms</w:t>
            </w:r>
          </w:p>
        </w:tc>
        <w:tc>
          <w:tcPr>
            <w:tcW w:w="458" w:type="pct"/>
          </w:tcPr>
          <w:p w14:paraId="7BA15BFB"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High</w:t>
            </w:r>
          </w:p>
        </w:tc>
        <w:tc>
          <w:tcPr>
            <w:tcW w:w="1851" w:type="pct"/>
          </w:tcPr>
          <w:p w14:paraId="785295E8"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Correlation is close to 1 as same random streams are used for each arm.</w:t>
            </w:r>
          </w:p>
        </w:tc>
      </w:tr>
      <w:tr w:rsidR="00FE37DB" w:rsidRPr="00A20A17" w14:paraId="78DF004B" w14:textId="77777777" w:rsidTr="00A80B48">
        <w:tc>
          <w:tcPr>
            <w:tcW w:w="2691" w:type="pct"/>
          </w:tcPr>
          <w:p w14:paraId="2A5EC65A"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If a certain seed is used for random number generation (or previously generated random numbers are used), check if they are scattered evenly between 0 and 1 when they are plotted</w:t>
            </w:r>
          </w:p>
        </w:tc>
        <w:tc>
          <w:tcPr>
            <w:tcW w:w="458" w:type="pct"/>
          </w:tcPr>
          <w:p w14:paraId="10EC3E78"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w:t>
            </w:r>
          </w:p>
        </w:tc>
        <w:tc>
          <w:tcPr>
            <w:tcW w:w="1851" w:type="pct"/>
          </w:tcPr>
          <w:p w14:paraId="522537EA"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Not applicable as seed not used.</w:t>
            </w:r>
          </w:p>
        </w:tc>
      </w:tr>
      <w:tr w:rsidR="00FE37DB" w:rsidRPr="00A20A17" w14:paraId="0E77A702" w14:textId="77777777" w:rsidTr="00A80B48">
        <w:tc>
          <w:tcPr>
            <w:tcW w:w="2691" w:type="pct"/>
          </w:tcPr>
          <w:p w14:paraId="1E1B39DB"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Is the mean of the parameter samples generated by the model similar to the point estimate for that parameter? Use graphical methods to examine distributions, functions</w:t>
            </w:r>
          </w:p>
        </w:tc>
        <w:tc>
          <w:tcPr>
            <w:tcW w:w="458" w:type="pct"/>
          </w:tcPr>
          <w:p w14:paraId="15873CBC"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w:t>
            </w:r>
          </w:p>
        </w:tc>
        <w:tc>
          <w:tcPr>
            <w:tcW w:w="1851" w:type="pct"/>
          </w:tcPr>
          <w:p w14:paraId="0031B84A"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Not conducted due to time constraints.</w:t>
            </w:r>
          </w:p>
        </w:tc>
      </w:tr>
      <w:tr w:rsidR="00FE37DB" w:rsidRPr="00A20A17" w14:paraId="60059130" w14:textId="77777777" w:rsidTr="00A80B48">
        <w:tc>
          <w:tcPr>
            <w:tcW w:w="2691" w:type="pct"/>
          </w:tcPr>
          <w:p w14:paraId="1F4EAD14"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Do sensitivity analyses include any parameters associated with methodological/structural uncertainty?</w:t>
            </w:r>
          </w:p>
        </w:tc>
        <w:tc>
          <w:tcPr>
            <w:tcW w:w="458" w:type="pct"/>
          </w:tcPr>
          <w:p w14:paraId="2852A6B3"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w:t>
            </w:r>
          </w:p>
        </w:tc>
        <w:tc>
          <w:tcPr>
            <w:tcW w:w="1851" w:type="pct"/>
          </w:tcPr>
          <w:p w14:paraId="05D1E331"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E.g. Whether effect of LDLC reduction depends on duration of reduction.</w:t>
            </w:r>
          </w:p>
        </w:tc>
      </w:tr>
      <w:tr w:rsidR="00FE37DB" w:rsidRPr="00A20A17" w14:paraId="77A5A617" w14:textId="77777777" w:rsidTr="00A80B48">
        <w:tc>
          <w:tcPr>
            <w:tcW w:w="2691" w:type="pct"/>
          </w:tcPr>
          <w:p w14:paraId="509FB5BA"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Value of information analysis if applicable: Was this implemented correctly?</w:t>
            </w:r>
          </w:p>
        </w:tc>
        <w:tc>
          <w:tcPr>
            <w:tcW w:w="458" w:type="pct"/>
          </w:tcPr>
          <w:p w14:paraId="1A0B91DD"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w:t>
            </w:r>
          </w:p>
        </w:tc>
        <w:tc>
          <w:tcPr>
            <w:tcW w:w="1851" w:type="pct"/>
          </w:tcPr>
          <w:p w14:paraId="48E79756"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 checked.</w:t>
            </w:r>
          </w:p>
        </w:tc>
      </w:tr>
      <w:tr w:rsidR="00FE37DB" w:rsidRPr="00A20A17" w14:paraId="3999A6BC" w14:textId="77777777" w:rsidTr="00A80B48">
        <w:tc>
          <w:tcPr>
            <w:tcW w:w="2691" w:type="pct"/>
          </w:tcPr>
          <w:p w14:paraId="28E1B71E"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Which types of analysis?</w:t>
            </w:r>
          </w:p>
        </w:tc>
        <w:tc>
          <w:tcPr>
            <w:tcW w:w="458" w:type="pct"/>
          </w:tcPr>
          <w:p w14:paraId="763ACFFD" w14:textId="77777777" w:rsidR="00FE37DB" w:rsidRPr="00A20A17" w:rsidRDefault="00FE37DB" w:rsidP="00A80B48">
            <w:pPr>
              <w:spacing w:after="0" w:line="240" w:lineRule="auto"/>
              <w:rPr>
                <w:rFonts w:ascii="Calibri" w:hAnsi="Calibri" w:cs="Calibri"/>
                <w:szCs w:val="18"/>
              </w:rPr>
            </w:pPr>
          </w:p>
        </w:tc>
        <w:tc>
          <w:tcPr>
            <w:tcW w:w="1851" w:type="pct"/>
          </w:tcPr>
          <w:p w14:paraId="494A11CC"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EVPI only.</w:t>
            </w:r>
          </w:p>
        </w:tc>
      </w:tr>
      <w:tr w:rsidR="00FE37DB" w:rsidRPr="00A20A17" w14:paraId="16BEBDFC" w14:textId="77777777" w:rsidTr="00A80B48">
        <w:tc>
          <w:tcPr>
            <w:tcW w:w="2691" w:type="pct"/>
          </w:tcPr>
          <w:p w14:paraId="569E5C27"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Is EVPI larger than all individual EVPPIs?</w:t>
            </w:r>
          </w:p>
        </w:tc>
        <w:tc>
          <w:tcPr>
            <w:tcW w:w="458" w:type="pct"/>
          </w:tcPr>
          <w:p w14:paraId="1442268D"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w:t>
            </w:r>
          </w:p>
        </w:tc>
        <w:tc>
          <w:tcPr>
            <w:tcW w:w="1851" w:type="pct"/>
            <w:vMerge w:val="restart"/>
          </w:tcPr>
          <w:p w14:paraId="48CDB5A8"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Not applicable as only EVPI calculated as EVPI low.</w:t>
            </w:r>
          </w:p>
        </w:tc>
      </w:tr>
      <w:tr w:rsidR="00FE37DB" w:rsidRPr="00A20A17" w14:paraId="5CF1280C" w14:textId="77777777" w:rsidTr="00A80B48">
        <w:tc>
          <w:tcPr>
            <w:tcW w:w="2691" w:type="pct"/>
          </w:tcPr>
          <w:p w14:paraId="2E8B18C2"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Is EVPPI for a (group of) parameters larger than the EVSI of that (group) of parameter(s)?</w:t>
            </w:r>
          </w:p>
        </w:tc>
        <w:tc>
          <w:tcPr>
            <w:tcW w:w="458" w:type="pct"/>
          </w:tcPr>
          <w:p w14:paraId="29418466"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w:t>
            </w:r>
          </w:p>
        </w:tc>
        <w:tc>
          <w:tcPr>
            <w:tcW w:w="1851" w:type="pct"/>
            <w:vMerge/>
          </w:tcPr>
          <w:p w14:paraId="51810031" w14:textId="77777777" w:rsidR="00FE37DB" w:rsidRPr="00A20A17" w:rsidRDefault="00FE37DB" w:rsidP="00A80B48">
            <w:pPr>
              <w:spacing w:after="0" w:line="240" w:lineRule="auto"/>
              <w:rPr>
                <w:rFonts w:ascii="Calibri" w:hAnsi="Calibri" w:cs="Calibri"/>
                <w:szCs w:val="18"/>
              </w:rPr>
            </w:pPr>
          </w:p>
        </w:tc>
      </w:tr>
      <w:tr w:rsidR="00FE37DB" w:rsidRPr="00A20A17" w14:paraId="224B225C" w14:textId="77777777" w:rsidTr="00A80B48">
        <w:tc>
          <w:tcPr>
            <w:tcW w:w="2691" w:type="pct"/>
          </w:tcPr>
          <w:p w14:paraId="2A9A42CE"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Are the results from EVPPI in line with OWSA or other parameter importance analysis (e.g. ANCOVA)?</w:t>
            </w:r>
          </w:p>
        </w:tc>
        <w:tc>
          <w:tcPr>
            <w:tcW w:w="458" w:type="pct"/>
          </w:tcPr>
          <w:p w14:paraId="7B01A8A2"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w:t>
            </w:r>
          </w:p>
        </w:tc>
        <w:tc>
          <w:tcPr>
            <w:tcW w:w="1851" w:type="pct"/>
            <w:vMerge/>
          </w:tcPr>
          <w:p w14:paraId="09AF39DA" w14:textId="77777777" w:rsidR="00FE37DB" w:rsidRPr="00A20A17" w:rsidRDefault="00FE37DB" w:rsidP="00A80B48">
            <w:pPr>
              <w:spacing w:after="0" w:line="240" w:lineRule="auto"/>
              <w:rPr>
                <w:rFonts w:ascii="Calibri" w:hAnsi="Calibri" w:cs="Calibri"/>
                <w:szCs w:val="18"/>
              </w:rPr>
            </w:pPr>
          </w:p>
        </w:tc>
      </w:tr>
      <w:tr w:rsidR="00FE37DB" w:rsidRPr="00A20A17" w14:paraId="532E7671" w14:textId="77777777" w:rsidTr="00A80B48">
        <w:tc>
          <w:tcPr>
            <w:tcW w:w="2691" w:type="pct"/>
          </w:tcPr>
          <w:p w14:paraId="3771E5CF"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Did the electronic model pass the black-box tests of the previous verification stages in all PSA iterations and in all scenario analysis settings?</w:t>
            </w:r>
          </w:p>
        </w:tc>
        <w:tc>
          <w:tcPr>
            <w:tcW w:w="458" w:type="pct"/>
          </w:tcPr>
          <w:p w14:paraId="278A0D7E"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w:t>
            </w:r>
          </w:p>
        </w:tc>
        <w:tc>
          <w:tcPr>
            <w:tcW w:w="1851" w:type="pct"/>
          </w:tcPr>
          <w:p w14:paraId="763465B3"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Not conducted due to time constraints.</w:t>
            </w:r>
          </w:p>
        </w:tc>
      </w:tr>
      <w:tr w:rsidR="00FE37DB" w:rsidRPr="00A20A17" w14:paraId="2D13842D" w14:textId="77777777" w:rsidTr="00A80B48">
        <w:tc>
          <w:tcPr>
            <w:tcW w:w="2691" w:type="pct"/>
          </w:tcPr>
          <w:p w14:paraId="3882B4FA"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Check if all sampled input parameters in the PSA are correctly linked to the corresponding event/state calculations</w:t>
            </w:r>
          </w:p>
        </w:tc>
        <w:tc>
          <w:tcPr>
            <w:tcW w:w="458" w:type="pct"/>
          </w:tcPr>
          <w:p w14:paraId="0965B231"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w:t>
            </w:r>
          </w:p>
        </w:tc>
        <w:tc>
          <w:tcPr>
            <w:tcW w:w="1851" w:type="pct"/>
          </w:tcPr>
          <w:p w14:paraId="1D71AD56"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Yes, via input sheet.</w:t>
            </w:r>
          </w:p>
        </w:tc>
      </w:tr>
      <w:tr w:rsidR="00FE37DB" w:rsidRPr="00A20A17" w14:paraId="1FDFB18D" w14:textId="77777777" w:rsidTr="00A80B48">
        <w:tc>
          <w:tcPr>
            <w:tcW w:w="5000" w:type="pct"/>
            <w:gridSpan w:val="3"/>
          </w:tcPr>
          <w:p w14:paraId="60C27435"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 xml:space="preserve">Advishe: Assessment of the Validation Status of Health-Economic decision models. CEAC: Cost-Effectiveness Acceptability Curve. CPRD: Clinical Practice Research Datalink. CTTC: Cholesterol Treatment Trialists’ Collaboration. CV: Cardiovascular. EVPI: Expected Value of Perfect Information. EVPPI: Expected Value of Perfect Parameter Information. EVSI: Expected Value of Sample Information. HR: Hazard Ratio. ICER: Incremental Cost-Effectiveness Ratio. LDLC: Low Density Lipoprotein Cholesterol. LLT: Lipid Lowering Treatment. OR: Odds Ratio. </w:t>
            </w:r>
          </w:p>
          <w:p w14:paraId="1EF1087F" w14:textId="77777777" w:rsidR="00FE37DB" w:rsidRPr="00A20A17" w:rsidRDefault="00FE37DB" w:rsidP="00A80B48">
            <w:pPr>
              <w:spacing w:after="0" w:line="240" w:lineRule="auto"/>
              <w:rPr>
                <w:rFonts w:ascii="Calibri" w:hAnsi="Calibri" w:cs="Calibri"/>
                <w:szCs w:val="18"/>
              </w:rPr>
            </w:pPr>
            <w:r w:rsidRPr="00A20A17">
              <w:rPr>
                <w:rFonts w:ascii="Calibri" w:hAnsi="Calibri" w:cs="Calibri"/>
                <w:szCs w:val="18"/>
              </w:rPr>
              <w:t>OWSA: One-Way Sensitivity Analysis. PSA: Probabilistic Sensitivity Analysis. QALYs: Quality-Adjusted Life Years. RR: Risk Ratio. SoC: Standard of Care. TECH-VER: TECHnical VERification checklist. WTP: Willingness To Pay</w:t>
            </w:r>
          </w:p>
        </w:tc>
      </w:tr>
    </w:tbl>
    <w:p w14:paraId="63AB37A7" w14:textId="77777777" w:rsidR="00FE37DB" w:rsidRPr="00A20A17" w:rsidRDefault="00FE37DB" w:rsidP="00FE37DB">
      <w:pPr>
        <w:spacing w:before="120" w:after="120"/>
        <w:rPr>
          <w:rFonts w:ascii="Calibri" w:eastAsia="Calibri" w:hAnsi="Calibri" w:cs="Arial"/>
        </w:rPr>
      </w:pPr>
    </w:p>
    <w:p w14:paraId="3A82DBCF" w14:textId="77777777" w:rsidR="00FE37DB" w:rsidRPr="00A20A17" w:rsidRDefault="00FE37DB" w:rsidP="00FE37DB">
      <w:pPr>
        <w:keepNext/>
        <w:keepLines/>
        <w:numPr>
          <w:ilvl w:val="0"/>
          <w:numId w:val="6"/>
        </w:numPr>
        <w:spacing w:before="240" w:after="240"/>
        <w:ind w:left="0" w:firstLine="0"/>
        <w:outlineLvl w:val="0"/>
        <w:rPr>
          <w:rFonts w:ascii="Calibri Light" w:eastAsia="Calibri Light" w:hAnsi="Calibri Light" w:cs="Times New Roman"/>
          <w:color w:val="2F5496"/>
          <w:sz w:val="32"/>
          <w:szCs w:val="32"/>
        </w:rPr>
        <w:sectPr w:rsidR="00FE37DB" w:rsidRPr="00A20A17" w:rsidSect="00794C5F">
          <w:pgSz w:w="16838" w:h="11906" w:orient="landscape"/>
          <w:pgMar w:top="1440" w:right="1440" w:bottom="1440" w:left="1440" w:header="708" w:footer="708" w:gutter="0"/>
          <w:cols w:space="708"/>
          <w:docGrid w:linePitch="360"/>
        </w:sectPr>
      </w:pPr>
    </w:p>
    <w:p w14:paraId="49375B62" w14:textId="77777777" w:rsidR="00FE37DB" w:rsidRPr="00A20A17" w:rsidRDefault="00FE37DB" w:rsidP="00FE37DB">
      <w:pPr>
        <w:keepNext/>
        <w:keepLines/>
        <w:numPr>
          <w:ilvl w:val="0"/>
          <w:numId w:val="6"/>
        </w:numPr>
        <w:spacing w:before="240" w:after="240"/>
        <w:ind w:left="0" w:firstLine="0"/>
        <w:outlineLvl w:val="0"/>
        <w:rPr>
          <w:rFonts w:ascii="Calibri Light" w:eastAsia="Calibri Light" w:hAnsi="Calibri Light" w:cs="Times New Roman"/>
          <w:color w:val="2F5496"/>
          <w:sz w:val="32"/>
          <w:szCs w:val="32"/>
        </w:rPr>
      </w:pPr>
      <w:bookmarkStart w:id="28" w:name="_Toc73625982"/>
      <w:r w:rsidRPr="00A20A17">
        <w:rPr>
          <w:rFonts w:ascii="Calibri Light" w:eastAsia="Calibri Light" w:hAnsi="Calibri Light" w:cs="Times New Roman"/>
          <w:color w:val="2F5496"/>
          <w:sz w:val="32"/>
          <w:szCs w:val="32"/>
        </w:rPr>
        <w:t>Results</w:t>
      </w:r>
      <w:bookmarkEnd w:id="28"/>
    </w:p>
    <w:p w14:paraId="6BB98781" w14:textId="77777777" w:rsidR="00FE37DB" w:rsidRPr="00A20A17" w:rsidRDefault="00FE37DB" w:rsidP="00FE37DB">
      <w:pPr>
        <w:keepNext/>
        <w:keepLines/>
        <w:spacing w:before="240" w:after="120"/>
        <w:outlineLvl w:val="1"/>
        <w:rPr>
          <w:rFonts w:ascii="Calibri Light" w:eastAsia="Calibri Light" w:hAnsi="Calibri Light" w:cs="Times New Roman"/>
          <w:color w:val="2F5496"/>
          <w:sz w:val="26"/>
          <w:szCs w:val="26"/>
        </w:rPr>
      </w:pPr>
      <w:bookmarkStart w:id="29" w:name="_Toc73625983"/>
      <w:r w:rsidRPr="00A20A17">
        <w:rPr>
          <w:rFonts w:ascii="Calibri Light" w:eastAsia="Calibri Light" w:hAnsi="Calibri Light" w:cs="Times New Roman"/>
          <w:color w:val="2F5496"/>
          <w:sz w:val="26"/>
          <w:szCs w:val="26"/>
        </w:rPr>
        <w:t>Impact of diagnosis on health outcomes</w:t>
      </w:r>
      <w:bookmarkEnd w:id="29"/>
    </w:p>
    <w:p w14:paraId="479055F3" w14:textId="77777777" w:rsidR="00FE37DB" w:rsidRPr="00A20A17" w:rsidRDefault="00FE37DB" w:rsidP="00FE37DB">
      <w:pPr>
        <w:keepNext/>
        <w:spacing w:before="120" w:after="120"/>
        <w:rPr>
          <w:rFonts w:ascii="Calibri" w:eastAsia="Calibri" w:hAnsi="Calibri" w:cs="Arial"/>
        </w:rPr>
      </w:pPr>
      <w:r w:rsidRPr="00A20A17">
        <w:rPr>
          <w:rFonts w:ascii="Calibri" w:eastAsia="Calibri" w:hAnsi="Calibri" w:cs="Arial"/>
          <w:noProof/>
          <w:lang w:eastAsia="en-GB"/>
        </w:rPr>
        <w:drawing>
          <wp:inline distT="0" distB="0" distL="0" distR="0" wp14:anchorId="75298893" wp14:editId="55695FCB">
            <wp:extent cx="5777230" cy="2873630"/>
            <wp:effectExtent l="0" t="0" r="0" b="317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94783" cy="2882361"/>
                    </a:xfrm>
                    <a:prstGeom prst="rect">
                      <a:avLst/>
                    </a:prstGeom>
                    <a:noFill/>
                  </pic:spPr>
                </pic:pic>
              </a:graphicData>
            </a:graphic>
          </wp:inline>
        </w:drawing>
      </w:r>
    </w:p>
    <w:p w14:paraId="073E2F4F" w14:textId="77777777" w:rsidR="00FE37DB" w:rsidRPr="00A20A17" w:rsidRDefault="00FE37DB" w:rsidP="00FE37DB">
      <w:pPr>
        <w:keepNext/>
        <w:spacing w:before="120" w:after="120"/>
        <w:rPr>
          <w:rFonts w:ascii="Calibri" w:eastAsia="Calibri" w:hAnsi="Calibri" w:cs="Arial"/>
        </w:rPr>
      </w:pPr>
      <w:r w:rsidRPr="00A20A17">
        <w:rPr>
          <w:rFonts w:ascii="Calibri" w:eastAsia="Calibri" w:hAnsi="Calibri" w:cs="Arial"/>
        </w:rPr>
        <w:t>Figure 5A: Gains in life expectancy due to diagnosis in males</w:t>
      </w:r>
    </w:p>
    <w:p w14:paraId="77A9AFFB" w14:textId="77777777" w:rsidR="00FE37DB" w:rsidRPr="00A20A17" w:rsidRDefault="00FE37DB" w:rsidP="00FE37DB">
      <w:pPr>
        <w:keepNext/>
        <w:spacing w:before="120" w:after="120"/>
        <w:rPr>
          <w:rFonts w:ascii="Calibri" w:eastAsia="Calibri" w:hAnsi="Calibri" w:cs="Arial"/>
        </w:rPr>
      </w:pPr>
      <w:r w:rsidRPr="00A20A17">
        <w:rPr>
          <w:rFonts w:ascii="Calibri" w:eastAsia="Calibri" w:hAnsi="Calibri" w:cs="Arial"/>
          <w:noProof/>
          <w:lang w:eastAsia="en-GB"/>
        </w:rPr>
        <w:drawing>
          <wp:inline distT="0" distB="0" distL="0" distR="0" wp14:anchorId="468CDA45" wp14:editId="249E55A5">
            <wp:extent cx="5783101" cy="2876550"/>
            <wp:effectExtent l="0" t="0" r="825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815325" cy="2892578"/>
                    </a:xfrm>
                    <a:prstGeom prst="rect">
                      <a:avLst/>
                    </a:prstGeom>
                    <a:noFill/>
                  </pic:spPr>
                </pic:pic>
              </a:graphicData>
            </a:graphic>
          </wp:inline>
        </w:drawing>
      </w:r>
    </w:p>
    <w:p w14:paraId="43D1188F" w14:textId="77777777" w:rsidR="00FE37DB" w:rsidRPr="00A20A17" w:rsidRDefault="00FE37DB" w:rsidP="00FE37DB">
      <w:pPr>
        <w:keepNext/>
        <w:spacing w:before="120" w:after="120"/>
        <w:rPr>
          <w:rFonts w:ascii="Calibri" w:eastAsia="Calibri" w:hAnsi="Calibri" w:cs="Arial"/>
        </w:rPr>
      </w:pPr>
      <w:r w:rsidRPr="00A20A17">
        <w:rPr>
          <w:rFonts w:ascii="Calibri" w:eastAsia="Calibri" w:hAnsi="Calibri" w:cs="Arial"/>
        </w:rPr>
        <w:t>Figure 5B: Gains in life expectancy due to diagnosis in females</w:t>
      </w:r>
    </w:p>
    <w:p w14:paraId="47A800D6" w14:textId="77777777" w:rsidR="00FE37DB" w:rsidRPr="00A20A17" w:rsidRDefault="00FE37DB" w:rsidP="00FE37DB">
      <w:pPr>
        <w:spacing w:before="120"/>
        <w:rPr>
          <w:rFonts w:ascii="Calibri" w:eastAsia="Calibri" w:hAnsi="Calibri" w:cs="Arial"/>
          <w:i/>
          <w:iCs/>
          <w:color w:val="44546A"/>
          <w:sz w:val="18"/>
          <w:szCs w:val="18"/>
        </w:rPr>
      </w:pPr>
      <w:r w:rsidRPr="00A20A17">
        <w:rPr>
          <w:rFonts w:ascii="Calibri" w:eastAsia="Calibri" w:hAnsi="Calibri" w:cs="Arial"/>
          <w:i/>
          <w:iCs/>
          <w:color w:val="44546A"/>
          <w:sz w:val="18"/>
          <w:szCs w:val="18"/>
        </w:rPr>
        <w:t xml:space="preserve">Figure </w:t>
      </w:r>
      <w:r w:rsidRPr="00A20A17">
        <w:rPr>
          <w:rFonts w:ascii="Calibri" w:eastAsia="Calibri" w:hAnsi="Calibri" w:cs="Arial"/>
          <w:i/>
          <w:iCs/>
          <w:color w:val="44546A"/>
          <w:sz w:val="18"/>
          <w:szCs w:val="18"/>
        </w:rPr>
        <w:fldChar w:fldCharType="begin"/>
      </w:r>
      <w:r w:rsidRPr="00A20A17">
        <w:rPr>
          <w:rFonts w:ascii="Calibri" w:eastAsia="Calibri" w:hAnsi="Calibri" w:cs="Arial"/>
          <w:i/>
          <w:iCs/>
          <w:color w:val="44546A"/>
          <w:sz w:val="18"/>
          <w:szCs w:val="18"/>
        </w:rPr>
        <w:instrText>SEQ Figure \* ARABIC</w:instrText>
      </w:r>
      <w:r w:rsidRPr="00A20A17">
        <w:rPr>
          <w:rFonts w:ascii="Calibri" w:eastAsia="Calibri" w:hAnsi="Calibri" w:cs="Arial"/>
          <w:i/>
          <w:iCs/>
          <w:color w:val="44546A"/>
          <w:sz w:val="18"/>
          <w:szCs w:val="18"/>
        </w:rPr>
        <w:fldChar w:fldCharType="separate"/>
      </w:r>
      <w:r w:rsidRPr="00A20A17">
        <w:rPr>
          <w:rFonts w:ascii="Calibri" w:eastAsia="Calibri" w:hAnsi="Calibri" w:cs="Arial"/>
          <w:i/>
          <w:iCs/>
          <w:noProof/>
          <w:color w:val="44546A"/>
          <w:sz w:val="18"/>
          <w:szCs w:val="18"/>
        </w:rPr>
        <w:t>5</w:t>
      </w:r>
      <w:r w:rsidRPr="00A20A17">
        <w:rPr>
          <w:rFonts w:ascii="Calibri" w:eastAsia="Calibri" w:hAnsi="Calibri" w:cs="Arial"/>
          <w:i/>
          <w:iCs/>
          <w:color w:val="44546A"/>
          <w:sz w:val="18"/>
          <w:szCs w:val="18"/>
        </w:rPr>
        <w:fldChar w:fldCharType="end"/>
      </w:r>
      <w:r w:rsidRPr="00A20A17">
        <w:rPr>
          <w:rFonts w:ascii="Calibri" w:eastAsia="Calibri" w:hAnsi="Calibri" w:cs="Arial"/>
          <w:i/>
          <w:iCs/>
          <w:color w:val="44546A"/>
          <w:sz w:val="18"/>
          <w:szCs w:val="18"/>
        </w:rPr>
        <w:t>: Gains in life expectancy due to diagnosis (undiscounted)</w:t>
      </w:r>
    </w:p>
    <w:p w14:paraId="1334F83F" w14:textId="77777777" w:rsidR="00FE37DB" w:rsidRPr="00A20A17" w:rsidRDefault="00FE37DB" w:rsidP="00FE37DB">
      <w:pPr>
        <w:keepNext/>
        <w:spacing w:before="120" w:after="120"/>
        <w:rPr>
          <w:rFonts w:ascii="Calibri" w:eastAsia="Calibri" w:hAnsi="Calibri" w:cs="Arial"/>
        </w:rPr>
      </w:pPr>
    </w:p>
    <w:p w14:paraId="72244EF1" w14:textId="77777777" w:rsidR="00FE37DB" w:rsidRPr="00A20A17" w:rsidRDefault="00FE37DB" w:rsidP="00FE37DB">
      <w:pPr>
        <w:keepNext/>
        <w:spacing w:before="120" w:after="120"/>
        <w:rPr>
          <w:rFonts w:ascii="Calibri" w:eastAsia="Calibri" w:hAnsi="Calibri" w:cs="Arial"/>
        </w:rPr>
      </w:pPr>
      <w:r w:rsidRPr="00A20A17">
        <w:rPr>
          <w:rFonts w:ascii="Calibri" w:eastAsia="Calibri" w:hAnsi="Calibri" w:cs="Arial"/>
          <w:noProof/>
          <w:lang w:eastAsia="en-GB"/>
        </w:rPr>
        <w:drawing>
          <wp:inline distT="0" distB="0" distL="0" distR="0" wp14:anchorId="694866D7" wp14:editId="199E4663">
            <wp:extent cx="5706506" cy="2838450"/>
            <wp:effectExtent l="0" t="0" r="889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32878" cy="2851568"/>
                    </a:xfrm>
                    <a:prstGeom prst="rect">
                      <a:avLst/>
                    </a:prstGeom>
                    <a:noFill/>
                  </pic:spPr>
                </pic:pic>
              </a:graphicData>
            </a:graphic>
          </wp:inline>
        </w:drawing>
      </w:r>
    </w:p>
    <w:p w14:paraId="75F56D62" w14:textId="77777777" w:rsidR="00FE37DB" w:rsidRPr="00A20A17" w:rsidRDefault="00FE37DB" w:rsidP="00FE37DB">
      <w:pPr>
        <w:keepNext/>
        <w:spacing w:before="120" w:after="120"/>
        <w:rPr>
          <w:rFonts w:ascii="Calibri" w:eastAsia="Calibri" w:hAnsi="Calibri" w:cs="Arial"/>
        </w:rPr>
      </w:pPr>
      <w:r w:rsidRPr="00A20A17">
        <w:rPr>
          <w:rFonts w:ascii="Calibri" w:eastAsia="Calibri" w:hAnsi="Calibri" w:cs="Arial"/>
        </w:rPr>
        <w:t>Figure 6A: Gains in quality-adjusted life expectancy (discounted) in males</w:t>
      </w:r>
    </w:p>
    <w:p w14:paraId="63722FED" w14:textId="77777777" w:rsidR="00FE37DB" w:rsidRPr="00A20A17" w:rsidRDefault="00FE37DB" w:rsidP="00FE37DB">
      <w:pPr>
        <w:keepNext/>
        <w:spacing w:before="120" w:after="120"/>
        <w:rPr>
          <w:rFonts w:ascii="Calibri" w:eastAsia="Calibri" w:hAnsi="Calibri" w:cs="Arial"/>
        </w:rPr>
      </w:pPr>
      <w:r w:rsidRPr="00A20A17">
        <w:rPr>
          <w:rFonts w:ascii="Calibri" w:eastAsia="Calibri" w:hAnsi="Calibri" w:cs="Arial"/>
          <w:noProof/>
          <w:lang w:eastAsia="en-GB"/>
        </w:rPr>
        <w:drawing>
          <wp:inline distT="0" distB="0" distL="0" distR="0" wp14:anchorId="67FEF63D" wp14:editId="3B397DCB">
            <wp:extent cx="5668208" cy="2819400"/>
            <wp:effectExtent l="0" t="0" r="8890" b="0"/>
            <wp:docPr id="20" name="Picture 2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bar chart&#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97106" cy="2833774"/>
                    </a:xfrm>
                    <a:prstGeom prst="rect">
                      <a:avLst/>
                    </a:prstGeom>
                    <a:noFill/>
                  </pic:spPr>
                </pic:pic>
              </a:graphicData>
            </a:graphic>
          </wp:inline>
        </w:drawing>
      </w:r>
    </w:p>
    <w:p w14:paraId="2EA58385" w14:textId="77777777" w:rsidR="00FE37DB" w:rsidRPr="00A20A17" w:rsidRDefault="00FE37DB" w:rsidP="00FE37DB">
      <w:pPr>
        <w:keepNext/>
        <w:spacing w:before="120" w:after="120"/>
        <w:rPr>
          <w:rFonts w:ascii="Calibri" w:eastAsia="Calibri" w:hAnsi="Calibri" w:cs="Arial"/>
        </w:rPr>
      </w:pPr>
      <w:r w:rsidRPr="00A20A17">
        <w:rPr>
          <w:rFonts w:ascii="Calibri" w:eastAsia="Calibri" w:hAnsi="Calibri" w:cs="Arial"/>
        </w:rPr>
        <w:t>Figure 6B: Gains in quality-adjusted life expectancy (discounted) in females</w:t>
      </w:r>
    </w:p>
    <w:p w14:paraId="1EB358CA" w14:textId="77777777" w:rsidR="00FE37DB" w:rsidRPr="00A20A17" w:rsidRDefault="00FE37DB" w:rsidP="00FE37DB">
      <w:pPr>
        <w:spacing w:before="120"/>
        <w:rPr>
          <w:rFonts w:ascii="Calibri" w:eastAsia="Calibri" w:hAnsi="Calibri" w:cs="Arial"/>
          <w:i/>
          <w:iCs/>
          <w:color w:val="44546A"/>
          <w:sz w:val="18"/>
          <w:szCs w:val="18"/>
        </w:rPr>
      </w:pPr>
      <w:r w:rsidRPr="00A20A17">
        <w:rPr>
          <w:rFonts w:ascii="Calibri" w:eastAsia="Calibri" w:hAnsi="Calibri" w:cs="Arial"/>
          <w:i/>
          <w:iCs/>
          <w:color w:val="44546A"/>
          <w:sz w:val="18"/>
          <w:szCs w:val="18"/>
        </w:rPr>
        <w:t xml:space="preserve">Figure </w:t>
      </w:r>
      <w:r w:rsidRPr="00A20A17">
        <w:rPr>
          <w:rFonts w:ascii="Calibri" w:eastAsia="Calibri" w:hAnsi="Calibri" w:cs="Arial"/>
          <w:i/>
          <w:iCs/>
          <w:color w:val="44546A"/>
          <w:sz w:val="18"/>
          <w:szCs w:val="18"/>
        </w:rPr>
        <w:fldChar w:fldCharType="begin"/>
      </w:r>
      <w:r w:rsidRPr="00A20A17">
        <w:rPr>
          <w:rFonts w:ascii="Calibri" w:eastAsia="Calibri" w:hAnsi="Calibri" w:cs="Arial"/>
          <w:i/>
          <w:iCs/>
          <w:color w:val="44546A"/>
          <w:sz w:val="18"/>
          <w:szCs w:val="18"/>
        </w:rPr>
        <w:instrText>SEQ Figure \* ARABIC</w:instrText>
      </w:r>
      <w:r w:rsidRPr="00A20A17">
        <w:rPr>
          <w:rFonts w:ascii="Calibri" w:eastAsia="Calibri" w:hAnsi="Calibri" w:cs="Arial"/>
          <w:i/>
          <w:iCs/>
          <w:color w:val="44546A"/>
          <w:sz w:val="18"/>
          <w:szCs w:val="18"/>
        </w:rPr>
        <w:fldChar w:fldCharType="separate"/>
      </w:r>
      <w:r w:rsidRPr="00A20A17">
        <w:rPr>
          <w:rFonts w:ascii="Calibri" w:eastAsia="Calibri" w:hAnsi="Calibri" w:cs="Arial"/>
          <w:i/>
          <w:iCs/>
          <w:noProof/>
          <w:color w:val="44546A"/>
          <w:sz w:val="18"/>
          <w:szCs w:val="18"/>
        </w:rPr>
        <w:t>6</w:t>
      </w:r>
      <w:r w:rsidRPr="00A20A17">
        <w:rPr>
          <w:rFonts w:ascii="Calibri" w:eastAsia="Calibri" w:hAnsi="Calibri" w:cs="Arial"/>
          <w:i/>
          <w:iCs/>
          <w:color w:val="44546A"/>
          <w:sz w:val="18"/>
          <w:szCs w:val="18"/>
        </w:rPr>
        <w:fldChar w:fldCharType="end"/>
      </w:r>
      <w:r w:rsidRPr="00A20A17">
        <w:rPr>
          <w:rFonts w:ascii="Calibri" w:eastAsia="Calibri" w:hAnsi="Calibri" w:cs="Arial"/>
          <w:i/>
          <w:iCs/>
          <w:color w:val="44546A"/>
          <w:sz w:val="18"/>
          <w:szCs w:val="18"/>
        </w:rPr>
        <w:t>: Gains in quality-adjusted life expectancy (discounted)</w:t>
      </w:r>
    </w:p>
    <w:p w14:paraId="6161FE32" w14:textId="77777777" w:rsidR="00FE37DB" w:rsidRPr="00A20A17" w:rsidRDefault="00FE37DB" w:rsidP="00FE37DB">
      <w:pPr>
        <w:keepNext/>
        <w:keepLines/>
        <w:spacing w:before="240" w:after="120"/>
        <w:outlineLvl w:val="1"/>
        <w:rPr>
          <w:rFonts w:ascii="Calibri Light" w:eastAsia="Calibri Light" w:hAnsi="Calibri Light" w:cs="Times New Roman"/>
          <w:color w:val="2F5496"/>
          <w:sz w:val="26"/>
          <w:szCs w:val="26"/>
        </w:rPr>
      </w:pPr>
      <w:bookmarkStart w:id="30" w:name="_Toc73625984"/>
      <w:r w:rsidRPr="00A20A17">
        <w:rPr>
          <w:rFonts w:ascii="Calibri Light" w:eastAsia="Calibri Light" w:hAnsi="Calibri Light" w:cs="Times New Roman"/>
          <w:color w:val="2F5496"/>
          <w:sz w:val="26"/>
          <w:szCs w:val="26"/>
        </w:rPr>
        <w:t>Impact of diagnosis on costs</w:t>
      </w:r>
      <w:bookmarkEnd w:id="30"/>
    </w:p>
    <w:p w14:paraId="0761A294" w14:textId="77777777" w:rsidR="00FE37DB" w:rsidRPr="00A20A17" w:rsidRDefault="00FE37DB" w:rsidP="00FE37DB">
      <w:pPr>
        <w:keepNext/>
        <w:spacing w:before="120" w:after="120"/>
        <w:rPr>
          <w:rFonts w:ascii="Calibri" w:eastAsia="Calibri" w:hAnsi="Calibri" w:cs="Arial"/>
        </w:rPr>
      </w:pPr>
    </w:p>
    <w:p w14:paraId="47A6B625" w14:textId="77777777" w:rsidR="00FE37DB" w:rsidRPr="00A20A17" w:rsidRDefault="00FE37DB" w:rsidP="00FE37DB">
      <w:pPr>
        <w:keepNext/>
        <w:spacing w:before="120" w:after="120"/>
        <w:rPr>
          <w:rFonts w:ascii="Calibri" w:eastAsia="Calibri" w:hAnsi="Calibri" w:cs="Arial"/>
        </w:rPr>
      </w:pPr>
      <w:r w:rsidRPr="00A20A17">
        <w:rPr>
          <w:rFonts w:ascii="Calibri" w:eastAsia="Calibri" w:hAnsi="Calibri" w:cs="Arial"/>
          <w:noProof/>
          <w:lang w:eastAsia="en-GB"/>
        </w:rPr>
        <w:drawing>
          <wp:inline distT="0" distB="0" distL="0" distR="0" wp14:anchorId="279BA359" wp14:editId="18D65591">
            <wp:extent cx="5548630" cy="2759923"/>
            <wp:effectExtent l="0" t="0" r="0" b="254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572319" cy="2771706"/>
                    </a:xfrm>
                    <a:prstGeom prst="rect">
                      <a:avLst/>
                    </a:prstGeom>
                    <a:noFill/>
                  </pic:spPr>
                </pic:pic>
              </a:graphicData>
            </a:graphic>
          </wp:inline>
        </w:drawing>
      </w:r>
    </w:p>
    <w:p w14:paraId="61A693FD" w14:textId="77777777" w:rsidR="00FE37DB" w:rsidRPr="00A20A17" w:rsidRDefault="00FE37DB" w:rsidP="00FE37DB">
      <w:pPr>
        <w:keepNext/>
        <w:spacing w:before="120" w:after="120"/>
        <w:rPr>
          <w:rFonts w:ascii="Calibri" w:eastAsia="Calibri" w:hAnsi="Calibri" w:cs="Arial"/>
        </w:rPr>
      </w:pPr>
      <w:r w:rsidRPr="00A20A17">
        <w:rPr>
          <w:rFonts w:ascii="Calibri" w:eastAsia="Calibri" w:hAnsi="Calibri" w:cs="Arial"/>
        </w:rPr>
        <w:t>Figure 7A: Impact of diagnosis on discounted costs in males</w:t>
      </w:r>
    </w:p>
    <w:p w14:paraId="4E8835FD" w14:textId="77777777" w:rsidR="00FE37DB" w:rsidRPr="00A20A17" w:rsidRDefault="00FE37DB" w:rsidP="00FE37DB">
      <w:pPr>
        <w:keepNext/>
        <w:spacing w:before="120" w:after="120"/>
        <w:rPr>
          <w:rFonts w:ascii="Calibri" w:eastAsia="Calibri" w:hAnsi="Calibri" w:cs="Arial"/>
        </w:rPr>
      </w:pPr>
      <w:r w:rsidRPr="00A20A17">
        <w:rPr>
          <w:rFonts w:ascii="Calibri" w:eastAsia="Calibri" w:hAnsi="Calibri" w:cs="Arial"/>
          <w:noProof/>
          <w:lang w:eastAsia="en-GB"/>
        </w:rPr>
        <w:drawing>
          <wp:inline distT="0" distB="0" distL="0" distR="0" wp14:anchorId="719D530C" wp14:editId="3B87D61E">
            <wp:extent cx="5691505" cy="2830990"/>
            <wp:effectExtent l="0" t="0" r="4445" b="762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07181" cy="2838787"/>
                    </a:xfrm>
                    <a:prstGeom prst="rect">
                      <a:avLst/>
                    </a:prstGeom>
                    <a:noFill/>
                  </pic:spPr>
                </pic:pic>
              </a:graphicData>
            </a:graphic>
          </wp:inline>
        </w:drawing>
      </w:r>
    </w:p>
    <w:p w14:paraId="5A8C0606" w14:textId="77777777" w:rsidR="00FE37DB" w:rsidRPr="00A20A17" w:rsidRDefault="00FE37DB" w:rsidP="00FE37DB">
      <w:pPr>
        <w:keepNext/>
        <w:spacing w:before="120" w:after="120"/>
        <w:rPr>
          <w:rFonts w:ascii="Calibri" w:eastAsia="Calibri" w:hAnsi="Calibri" w:cs="Arial"/>
        </w:rPr>
      </w:pPr>
      <w:r w:rsidRPr="00A20A17">
        <w:rPr>
          <w:rFonts w:ascii="Calibri" w:eastAsia="Calibri" w:hAnsi="Calibri" w:cs="Arial"/>
        </w:rPr>
        <w:t>Figure 7B: Impact of diagnosis on discounted costs in females</w:t>
      </w:r>
    </w:p>
    <w:p w14:paraId="48CFE939" w14:textId="77777777" w:rsidR="00FE37DB" w:rsidRPr="00A20A17" w:rsidRDefault="00FE37DB" w:rsidP="00FE37DB">
      <w:pPr>
        <w:spacing w:before="120"/>
        <w:rPr>
          <w:rFonts w:ascii="Calibri" w:eastAsia="Calibri" w:hAnsi="Calibri" w:cs="Arial"/>
          <w:i/>
          <w:iCs/>
          <w:color w:val="44546A"/>
          <w:sz w:val="18"/>
          <w:szCs w:val="18"/>
        </w:rPr>
      </w:pPr>
      <w:r w:rsidRPr="00A20A17">
        <w:rPr>
          <w:rFonts w:ascii="Calibri" w:eastAsia="Calibri" w:hAnsi="Calibri" w:cs="Arial"/>
          <w:i/>
          <w:iCs/>
          <w:color w:val="44546A"/>
          <w:sz w:val="18"/>
          <w:szCs w:val="18"/>
        </w:rPr>
        <w:t xml:space="preserve">Figure </w:t>
      </w:r>
      <w:r w:rsidRPr="00A20A17">
        <w:rPr>
          <w:rFonts w:ascii="Calibri" w:eastAsia="Calibri" w:hAnsi="Calibri" w:cs="Arial"/>
          <w:i/>
          <w:iCs/>
          <w:color w:val="44546A"/>
          <w:sz w:val="18"/>
          <w:szCs w:val="18"/>
        </w:rPr>
        <w:fldChar w:fldCharType="begin"/>
      </w:r>
      <w:r w:rsidRPr="00A20A17">
        <w:rPr>
          <w:rFonts w:ascii="Calibri" w:eastAsia="Calibri" w:hAnsi="Calibri" w:cs="Arial"/>
          <w:i/>
          <w:iCs/>
          <w:color w:val="44546A"/>
          <w:sz w:val="18"/>
          <w:szCs w:val="18"/>
        </w:rPr>
        <w:instrText>SEQ Figure \* ARABIC</w:instrText>
      </w:r>
      <w:r w:rsidRPr="00A20A17">
        <w:rPr>
          <w:rFonts w:ascii="Calibri" w:eastAsia="Calibri" w:hAnsi="Calibri" w:cs="Arial"/>
          <w:i/>
          <w:iCs/>
          <w:color w:val="44546A"/>
          <w:sz w:val="18"/>
          <w:szCs w:val="18"/>
        </w:rPr>
        <w:fldChar w:fldCharType="separate"/>
      </w:r>
      <w:r w:rsidRPr="00A20A17">
        <w:rPr>
          <w:rFonts w:ascii="Calibri" w:eastAsia="Calibri" w:hAnsi="Calibri" w:cs="Arial"/>
          <w:i/>
          <w:iCs/>
          <w:noProof/>
          <w:color w:val="44546A"/>
          <w:sz w:val="18"/>
          <w:szCs w:val="18"/>
        </w:rPr>
        <w:t>7</w:t>
      </w:r>
      <w:r w:rsidRPr="00A20A17">
        <w:rPr>
          <w:rFonts w:ascii="Calibri" w:eastAsia="Calibri" w:hAnsi="Calibri" w:cs="Arial"/>
          <w:i/>
          <w:iCs/>
          <w:color w:val="44546A"/>
          <w:sz w:val="18"/>
          <w:szCs w:val="18"/>
        </w:rPr>
        <w:fldChar w:fldCharType="end"/>
      </w:r>
      <w:r w:rsidRPr="00A20A17">
        <w:rPr>
          <w:rFonts w:ascii="Calibri" w:eastAsia="Calibri" w:hAnsi="Calibri" w:cs="Arial"/>
          <w:i/>
          <w:iCs/>
          <w:color w:val="44546A"/>
          <w:sz w:val="18"/>
          <w:szCs w:val="18"/>
        </w:rPr>
        <w:t>: Impact of diagnosis on discounted costs</w:t>
      </w:r>
    </w:p>
    <w:p w14:paraId="6B330FC3" w14:textId="77777777" w:rsidR="00FE37DB" w:rsidRPr="00A20A17" w:rsidRDefault="00FE37DB" w:rsidP="00FE37DB">
      <w:pPr>
        <w:keepNext/>
        <w:keepLines/>
        <w:spacing w:before="240" w:after="120"/>
        <w:outlineLvl w:val="1"/>
        <w:rPr>
          <w:rFonts w:ascii="Calibri Light" w:eastAsia="Calibri Light" w:hAnsi="Calibri Light" w:cs="Times New Roman"/>
          <w:color w:val="2F5496"/>
          <w:sz w:val="26"/>
          <w:szCs w:val="26"/>
        </w:rPr>
      </w:pPr>
      <w:bookmarkStart w:id="31" w:name="_Toc73625985"/>
      <w:r w:rsidRPr="00A20A17">
        <w:rPr>
          <w:rFonts w:ascii="Calibri Light" w:eastAsia="Calibri Light" w:hAnsi="Calibri Light" w:cs="Times New Roman"/>
          <w:color w:val="2F5496"/>
          <w:sz w:val="26"/>
          <w:szCs w:val="26"/>
        </w:rPr>
        <w:t>Impact of diagnosis on net health gain</w:t>
      </w:r>
      <w:bookmarkEnd w:id="31"/>
      <w:r w:rsidRPr="00A20A17">
        <w:rPr>
          <w:rFonts w:ascii="Calibri Light" w:eastAsia="Calibri Light" w:hAnsi="Calibri Light" w:cs="Times New Roman"/>
          <w:color w:val="2F5496"/>
          <w:sz w:val="26"/>
          <w:szCs w:val="26"/>
        </w:rPr>
        <w:t xml:space="preserve"> </w:t>
      </w:r>
    </w:p>
    <w:p w14:paraId="20F0A6CD" w14:textId="77777777" w:rsidR="00FE37DB" w:rsidRPr="00A20A17" w:rsidRDefault="00FE37DB" w:rsidP="00FE37DB">
      <w:pPr>
        <w:keepNext/>
        <w:spacing w:before="120" w:after="120"/>
        <w:rPr>
          <w:rFonts w:ascii="Calibri" w:eastAsia="Calibri" w:hAnsi="Calibri" w:cs="Arial"/>
        </w:rPr>
      </w:pPr>
      <w:r w:rsidRPr="00A20A17">
        <w:rPr>
          <w:rFonts w:ascii="Calibri" w:eastAsia="Calibri" w:hAnsi="Calibri" w:cs="Arial"/>
          <w:noProof/>
          <w:lang w:eastAsia="en-GB"/>
        </w:rPr>
        <w:drawing>
          <wp:inline distT="0" distB="0" distL="0" distR="0" wp14:anchorId="652DFFF5" wp14:editId="30C149A6">
            <wp:extent cx="5653405" cy="2812039"/>
            <wp:effectExtent l="0" t="0" r="4445" b="7620"/>
            <wp:docPr id="24" name="Picture 2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674991" cy="2822776"/>
                    </a:xfrm>
                    <a:prstGeom prst="rect">
                      <a:avLst/>
                    </a:prstGeom>
                    <a:noFill/>
                  </pic:spPr>
                </pic:pic>
              </a:graphicData>
            </a:graphic>
          </wp:inline>
        </w:drawing>
      </w:r>
    </w:p>
    <w:p w14:paraId="4B3BBCCC" w14:textId="77777777" w:rsidR="00FE37DB" w:rsidRPr="00A20A17" w:rsidRDefault="00FE37DB" w:rsidP="00FE37DB">
      <w:pPr>
        <w:keepNext/>
        <w:spacing w:before="120" w:after="120"/>
        <w:rPr>
          <w:rFonts w:ascii="Calibri" w:eastAsia="Calibri" w:hAnsi="Calibri" w:cs="Arial"/>
        </w:rPr>
      </w:pPr>
      <w:r w:rsidRPr="00A20A17">
        <w:rPr>
          <w:rFonts w:ascii="Calibri" w:eastAsia="Calibri" w:hAnsi="Calibri" w:cs="Arial"/>
        </w:rPr>
        <w:t>Figure 8A: Impact of diagnosis on net health gain at the £20,000/QALY threshold in males</w:t>
      </w:r>
    </w:p>
    <w:p w14:paraId="4DC6AC09" w14:textId="77777777" w:rsidR="00FE37DB" w:rsidRPr="00A20A17" w:rsidRDefault="00FE37DB" w:rsidP="00FE37DB">
      <w:pPr>
        <w:keepNext/>
        <w:spacing w:before="120" w:after="120"/>
        <w:rPr>
          <w:rFonts w:ascii="Calibri" w:eastAsia="Calibri" w:hAnsi="Calibri" w:cs="Arial"/>
        </w:rPr>
      </w:pPr>
      <w:r w:rsidRPr="00A20A17">
        <w:rPr>
          <w:rFonts w:ascii="Calibri" w:eastAsia="Calibri" w:hAnsi="Calibri" w:cs="Arial"/>
          <w:noProof/>
          <w:lang w:eastAsia="en-GB"/>
        </w:rPr>
        <w:drawing>
          <wp:inline distT="0" distB="0" distL="0" distR="0" wp14:anchorId="02333183" wp14:editId="00FF17A8">
            <wp:extent cx="5638800" cy="2804774"/>
            <wp:effectExtent l="0" t="0" r="0" b="0"/>
            <wp:docPr id="23" name="Picture 2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76657" cy="2823604"/>
                    </a:xfrm>
                    <a:prstGeom prst="rect">
                      <a:avLst/>
                    </a:prstGeom>
                    <a:noFill/>
                  </pic:spPr>
                </pic:pic>
              </a:graphicData>
            </a:graphic>
          </wp:inline>
        </w:drawing>
      </w:r>
    </w:p>
    <w:p w14:paraId="59C2AB83" w14:textId="77777777" w:rsidR="00FE37DB" w:rsidRPr="00A20A17" w:rsidRDefault="00FE37DB" w:rsidP="00FE37DB">
      <w:pPr>
        <w:keepNext/>
        <w:spacing w:before="120" w:after="120"/>
        <w:rPr>
          <w:rFonts w:ascii="Calibri" w:eastAsia="Calibri" w:hAnsi="Calibri" w:cs="Arial"/>
        </w:rPr>
      </w:pPr>
      <w:r w:rsidRPr="00A20A17">
        <w:rPr>
          <w:rFonts w:ascii="Calibri" w:eastAsia="Calibri" w:hAnsi="Calibri" w:cs="Arial"/>
        </w:rPr>
        <w:t>Figure 8B: Impact of diagnosis on net health gain at the £20,000/QALY threshold in females</w:t>
      </w:r>
    </w:p>
    <w:p w14:paraId="1C3A9D0E" w14:textId="77777777" w:rsidR="00FE37DB" w:rsidRPr="00A20A17" w:rsidRDefault="00FE37DB" w:rsidP="00FE37DB">
      <w:pPr>
        <w:spacing w:before="120"/>
        <w:rPr>
          <w:rFonts w:ascii="Calibri" w:eastAsia="Calibri" w:hAnsi="Calibri" w:cs="Arial"/>
          <w:i/>
          <w:iCs/>
          <w:color w:val="44546A"/>
          <w:sz w:val="18"/>
          <w:szCs w:val="18"/>
        </w:rPr>
      </w:pPr>
      <w:r w:rsidRPr="00A20A17">
        <w:rPr>
          <w:rFonts w:ascii="Calibri" w:eastAsia="Calibri" w:hAnsi="Calibri" w:cs="Arial"/>
          <w:i/>
          <w:iCs/>
          <w:color w:val="44546A"/>
          <w:sz w:val="18"/>
          <w:szCs w:val="18"/>
        </w:rPr>
        <w:t xml:space="preserve">Figure </w:t>
      </w:r>
      <w:r w:rsidRPr="00A20A17">
        <w:rPr>
          <w:rFonts w:ascii="Calibri" w:eastAsia="Calibri" w:hAnsi="Calibri" w:cs="Arial"/>
          <w:i/>
          <w:iCs/>
          <w:color w:val="44546A"/>
          <w:sz w:val="18"/>
          <w:szCs w:val="18"/>
        </w:rPr>
        <w:fldChar w:fldCharType="begin"/>
      </w:r>
      <w:r w:rsidRPr="00A20A17">
        <w:rPr>
          <w:rFonts w:ascii="Calibri" w:eastAsia="Calibri" w:hAnsi="Calibri" w:cs="Arial"/>
          <w:i/>
          <w:iCs/>
          <w:color w:val="44546A"/>
          <w:sz w:val="18"/>
          <w:szCs w:val="18"/>
        </w:rPr>
        <w:instrText>SEQ Figure \* ARABIC</w:instrText>
      </w:r>
      <w:r w:rsidRPr="00A20A17">
        <w:rPr>
          <w:rFonts w:ascii="Calibri" w:eastAsia="Calibri" w:hAnsi="Calibri" w:cs="Arial"/>
          <w:i/>
          <w:iCs/>
          <w:color w:val="44546A"/>
          <w:sz w:val="18"/>
          <w:szCs w:val="18"/>
        </w:rPr>
        <w:fldChar w:fldCharType="separate"/>
      </w:r>
      <w:r w:rsidRPr="00A20A17">
        <w:rPr>
          <w:rFonts w:ascii="Calibri" w:eastAsia="Calibri" w:hAnsi="Calibri" w:cs="Arial"/>
          <w:i/>
          <w:iCs/>
          <w:noProof/>
          <w:color w:val="44546A"/>
          <w:sz w:val="18"/>
          <w:szCs w:val="18"/>
        </w:rPr>
        <w:t>8</w:t>
      </w:r>
      <w:r w:rsidRPr="00A20A17">
        <w:rPr>
          <w:rFonts w:ascii="Calibri" w:eastAsia="Calibri" w:hAnsi="Calibri" w:cs="Arial"/>
          <w:i/>
          <w:iCs/>
          <w:color w:val="44546A"/>
          <w:sz w:val="18"/>
          <w:szCs w:val="18"/>
        </w:rPr>
        <w:fldChar w:fldCharType="end"/>
      </w:r>
      <w:r w:rsidRPr="00A20A17">
        <w:rPr>
          <w:rFonts w:ascii="Calibri" w:eastAsia="Calibri" w:hAnsi="Calibri" w:cs="Arial"/>
          <w:i/>
          <w:iCs/>
          <w:color w:val="44546A"/>
          <w:sz w:val="18"/>
          <w:szCs w:val="18"/>
        </w:rPr>
        <w:t>: Impact of diagnosis on net health gain at the £20,000/QALY threshold (discounted to present values)</w:t>
      </w:r>
    </w:p>
    <w:p w14:paraId="0FA7DB1C" w14:textId="77777777" w:rsidR="00FE37DB" w:rsidRPr="00A20A17" w:rsidRDefault="00FE37DB" w:rsidP="00FE37DB">
      <w:pPr>
        <w:spacing w:after="120" w:line="240" w:lineRule="auto"/>
        <w:rPr>
          <w:rFonts w:ascii="Calibri" w:eastAsia="Calibri" w:hAnsi="Calibri" w:cs="Arial"/>
        </w:rPr>
      </w:pPr>
      <w:r w:rsidRPr="00A20A17">
        <w:rPr>
          <w:rFonts w:ascii="Calibri" w:eastAsia="Calibri" w:hAnsi="Calibri" w:cs="Arial"/>
        </w:rPr>
        <w:br w:type="page"/>
      </w:r>
    </w:p>
    <w:p w14:paraId="358D7D6A" w14:textId="77777777" w:rsidR="00FE37DB" w:rsidRPr="00A20A17" w:rsidRDefault="00FE37DB" w:rsidP="00FE37DB">
      <w:pPr>
        <w:keepNext/>
        <w:keepLines/>
        <w:spacing w:before="240" w:after="120"/>
        <w:outlineLvl w:val="1"/>
        <w:rPr>
          <w:rFonts w:ascii="Calibri Light" w:eastAsia="Calibri Light" w:hAnsi="Calibri Light" w:cs="Times New Roman"/>
          <w:color w:val="2F5496"/>
          <w:sz w:val="26"/>
          <w:szCs w:val="26"/>
        </w:rPr>
      </w:pPr>
      <w:bookmarkStart w:id="32" w:name="_Toc73625986"/>
      <w:r w:rsidRPr="00A20A17">
        <w:rPr>
          <w:rFonts w:ascii="Calibri Light" w:eastAsia="Calibri Light" w:hAnsi="Calibri Light" w:cs="Times New Roman"/>
          <w:color w:val="2F5496"/>
          <w:sz w:val="26"/>
          <w:szCs w:val="26"/>
        </w:rPr>
        <w:t>Probability that diagnosis is a net health gain for the NHS</w:t>
      </w:r>
      <w:bookmarkEnd w:id="32"/>
      <w:r w:rsidRPr="00A20A17">
        <w:rPr>
          <w:rFonts w:ascii="Calibri Light" w:eastAsia="Calibri Light" w:hAnsi="Calibri Light" w:cs="Times New Roman"/>
          <w:color w:val="2F5496"/>
          <w:sz w:val="26"/>
          <w:szCs w:val="26"/>
        </w:rPr>
        <w:t xml:space="preserve">  </w:t>
      </w:r>
    </w:p>
    <w:p w14:paraId="101126D9" w14:textId="77777777" w:rsidR="00FE37DB" w:rsidRPr="00A20A17" w:rsidRDefault="00FE37DB" w:rsidP="00FE37DB">
      <w:pPr>
        <w:keepNext/>
        <w:spacing w:before="120" w:after="120"/>
        <w:rPr>
          <w:rFonts w:ascii="Calibri" w:eastAsia="Calibri" w:hAnsi="Calibri" w:cs="Arial"/>
        </w:rPr>
      </w:pPr>
      <w:r w:rsidRPr="00A20A17">
        <w:rPr>
          <w:rFonts w:ascii="Calibri" w:eastAsia="Calibri" w:hAnsi="Calibri" w:cs="Arial"/>
          <w:noProof/>
          <w:lang w:eastAsia="en-GB"/>
        </w:rPr>
        <w:drawing>
          <wp:inline distT="0" distB="0" distL="0" distR="0" wp14:anchorId="553B29D3" wp14:editId="59C0716A">
            <wp:extent cx="5634355" cy="2802563"/>
            <wp:effectExtent l="0" t="0" r="444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655024" cy="2812844"/>
                    </a:xfrm>
                    <a:prstGeom prst="rect">
                      <a:avLst/>
                    </a:prstGeom>
                    <a:noFill/>
                  </pic:spPr>
                </pic:pic>
              </a:graphicData>
            </a:graphic>
          </wp:inline>
        </w:drawing>
      </w:r>
    </w:p>
    <w:p w14:paraId="7D0C166A" w14:textId="77777777" w:rsidR="00FE37DB" w:rsidRPr="00A20A17" w:rsidRDefault="00FE37DB" w:rsidP="00FE37DB">
      <w:pPr>
        <w:keepNext/>
        <w:spacing w:before="120" w:after="120"/>
        <w:rPr>
          <w:rFonts w:ascii="Calibri" w:eastAsia="Calibri" w:hAnsi="Calibri" w:cs="Arial"/>
        </w:rPr>
      </w:pPr>
      <w:r w:rsidRPr="00A20A17">
        <w:rPr>
          <w:rFonts w:ascii="Calibri" w:eastAsia="Calibri" w:hAnsi="Calibri" w:cs="Arial"/>
        </w:rPr>
        <w:t>Figure 9A: Probability that diagnosis is a net health gain for the NHS in males</w:t>
      </w:r>
    </w:p>
    <w:p w14:paraId="53C4DA91" w14:textId="77777777" w:rsidR="00FE37DB" w:rsidRPr="00A20A17" w:rsidRDefault="00FE37DB" w:rsidP="00FE37DB">
      <w:pPr>
        <w:keepNext/>
        <w:spacing w:before="120" w:after="120"/>
        <w:rPr>
          <w:rFonts w:ascii="Calibri" w:eastAsia="Calibri" w:hAnsi="Calibri" w:cs="Arial"/>
        </w:rPr>
      </w:pPr>
      <w:r w:rsidRPr="00A20A17">
        <w:rPr>
          <w:rFonts w:ascii="Calibri" w:eastAsia="Calibri" w:hAnsi="Calibri" w:cs="Arial"/>
          <w:noProof/>
          <w:lang w:eastAsia="en-GB"/>
        </w:rPr>
        <w:drawing>
          <wp:inline distT="0" distB="0" distL="0" distR="0" wp14:anchorId="46CBE093" wp14:editId="167344EA">
            <wp:extent cx="5586730" cy="2778874"/>
            <wp:effectExtent l="0" t="0" r="0" b="254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611954" cy="2791421"/>
                    </a:xfrm>
                    <a:prstGeom prst="rect">
                      <a:avLst/>
                    </a:prstGeom>
                    <a:noFill/>
                  </pic:spPr>
                </pic:pic>
              </a:graphicData>
            </a:graphic>
          </wp:inline>
        </w:drawing>
      </w:r>
    </w:p>
    <w:p w14:paraId="4201C278" w14:textId="77777777" w:rsidR="00FE37DB" w:rsidRPr="00A20A17" w:rsidRDefault="00FE37DB" w:rsidP="00FE37DB">
      <w:pPr>
        <w:keepNext/>
        <w:spacing w:before="120" w:after="120"/>
        <w:rPr>
          <w:rFonts w:ascii="Calibri" w:eastAsia="Calibri" w:hAnsi="Calibri" w:cs="Arial"/>
        </w:rPr>
      </w:pPr>
      <w:r w:rsidRPr="00A20A17">
        <w:rPr>
          <w:rFonts w:ascii="Calibri" w:eastAsia="Calibri" w:hAnsi="Calibri" w:cs="Arial"/>
        </w:rPr>
        <w:t>Figure 9B: Probability that diagnosis is a net health gain for the NHS in females</w:t>
      </w:r>
    </w:p>
    <w:p w14:paraId="588E4E9B" w14:textId="77777777" w:rsidR="00FE37DB" w:rsidRPr="00A20A17" w:rsidRDefault="00FE37DB" w:rsidP="00FE37DB">
      <w:pPr>
        <w:spacing w:before="120"/>
        <w:rPr>
          <w:rFonts w:ascii="Calibri" w:eastAsia="Calibri" w:hAnsi="Calibri" w:cs="Arial"/>
          <w:i/>
          <w:iCs/>
          <w:color w:val="44546A"/>
          <w:sz w:val="18"/>
          <w:szCs w:val="18"/>
        </w:rPr>
      </w:pPr>
      <w:r w:rsidRPr="00A20A17">
        <w:rPr>
          <w:rFonts w:ascii="Calibri" w:eastAsia="Calibri" w:hAnsi="Calibri" w:cs="Arial"/>
          <w:i/>
          <w:iCs/>
          <w:color w:val="44546A"/>
          <w:sz w:val="18"/>
          <w:szCs w:val="18"/>
        </w:rPr>
        <w:t xml:space="preserve">Figure </w:t>
      </w:r>
      <w:r w:rsidRPr="00A20A17">
        <w:rPr>
          <w:rFonts w:ascii="Calibri" w:eastAsia="Calibri" w:hAnsi="Calibri" w:cs="Arial"/>
          <w:i/>
          <w:iCs/>
          <w:color w:val="44546A"/>
          <w:sz w:val="18"/>
          <w:szCs w:val="18"/>
        </w:rPr>
        <w:fldChar w:fldCharType="begin"/>
      </w:r>
      <w:r w:rsidRPr="00A20A17">
        <w:rPr>
          <w:rFonts w:ascii="Calibri" w:eastAsia="Calibri" w:hAnsi="Calibri" w:cs="Arial"/>
          <w:i/>
          <w:iCs/>
          <w:color w:val="44546A"/>
          <w:sz w:val="18"/>
          <w:szCs w:val="18"/>
        </w:rPr>
        <w:instrText>SEQ Figure \* ARABIC</w:instrText>
      </w:r>
      <w:r w:rsidRPr="00A20A17">
        <w:rPr>
          <w:rFonts w:ascii="Calibri" w:eastAsia="Calibri" w:hAnsi="Calibri" w:cs="Arial"/>
          <w:i/>
          <w:iCs/>
          <w:color w:val="44546A"/>
          <w:sz w:val="18"/>
          <w:szCs w:val="18"/>
        </w:rPr>
        <w:fldChar w:fldCharType="separate"/>
      </w:r>
      <w:r w:rsidRPr="00A20A17">
        <w:rPr>
          <w:rFonts w:ascii="Calibri" w:eastAsia="Calibri" w:hAnsi="Calibri" w:cs="Arial"/>
          <w:i/>
          <w:iCs/>
          <w:noProof/>
          <w:color w:val="44546A"/>
          <w:sz w:val="18"/>
          <w:szCs w:val="18"/>
        </w:rPr>
        <w:t>9</w:t>
      </w:r>
      <w:r w:rsidRPr="00A20A17">
        <w:rPr>
          <w:rFonts w:ascii="Calibri" w:eastAsia="Calibri" w:hAnsi="Calibri" w:cs="Arial"/>
          <w:i/>
          <w:iCs/>
          <w:color w:val="44546A"/>
          <w:sz w:val="18"/>
          <w:szCs w:val="18"/>
        </w:rPr>
        <w:fldChar w:fldCharType="end"/>
      </w:r>
      <w:r w:rsidRPr="00A20A17">
        <w:rPr>
          <w:rFonts w:ascii="Calibri" w:eastAsia="Calibri" w:hAnsi="Calibri" w:cs="Arial"/>
          <w:i/>
          <w:iCs/>
          <w:color w:val="44546A"/>
          <w:sz w:val="18"/>
          <w:szCs w:val="18"/>
        </w:rPr>
        <w:t>: Probability that diagnosis is a net health gain for the NHS at the cost-effectiveness threshold of £15,000/QALY</w:t>
      </w:r>
    </w:p>
    <w:p w14:paraId="666A886B" w14:textId="77777777" w:rsidR="00FE37DB" w:rsidRPr="00A20A17" w:rsidRDefault="00FE37DB" w:rsidP="00FE37DB">
      <w:pPr>
        <w:spacing w:after="120" w:line="240" w:lineRule="auto"/>
        <w:rPr>
          <w:rFonts w:ascii="Calibri" w:eastAsia="Calibri" w:hAnsi="Calibri" w:cs="Arial"/>
        </w:rPr>
      </w:pPr>
    </w:p>
    <w:p w14:paraId="2000513B" w14:textId="77777777" w:rsidR="00FE37DB" w:rsidRPr="00A20A17" w:rsidRDefault="00FE37DB" w:rsidP="00FE37DB">
      <w:pPr>
        <w:spacing w:after="120" w:line="240" w:lineRule="auto"/>
        <w:rPr>
          <w:rFonts w:ascii="Calibri Light" w:eastAsia="Calibri Light" w:hAnsi="Calibri Light" w:cs="Times New Roman"/>
          <w:color w:val="2F5496"/>
          <w:sz w:val="26"/>
          <w:szCs w:val="26"/>
        </w:rPr>
      </w:pPr>
      <w:bookmarkStart w:id="33" w:name="_Hlk59723159"/>
      <w:r w:rsidRPr="00A20A17">
        <w:rPr>
          <w:rFonts w:ascii="Calibri" w:eastAsia="Calibri" w:hAnsi="Calibri" w:cs="Arial"/>
        </w:rPr>
        <w:br w:type="page"/>
      </w:r>
    </w:p>
    <w:p w14:paraId="47390E8A" w14:textId="77777777" w:rsidR="00FE37DB" w:rsidRPr="00A20A17" w:rsidRDefault="00FE37DB" w:rsidP="00FE37DB">
      <w:pPr>
        <w:keepNext/>
        <w:keepLines/>
        <w:spacing w:before="240" w:after="120"/>
        <w:outlineLvl w:val="1"/>
        <w:rPr>
          <w:rFonts w:ascii="Calibri Light" w:eastAsia="Calibri Light" w:hAnsi="Calibri Light" w:cs="Times New Roman"/>
          <w:color w:val="2F5496"/>
          <w:sz w:val="26"/>
          <w:szCs w:val="26"/>
        </w:rPr>
      </w:pPr>
      <w:bookmarkStart w:id="34" w:name="_Toc73625987"/>
      <w:r w:rsidRPr="00A20A17">
        <w:rPr>
          <w:rFonts w:ascii="Calibri Light" w:eastAsia="Calibri Light" w:hAnsi="Calibri Light" w:cs="Times New Roman"/>
          <w:color w:val="2F5496"/>
          <w:sz w:val="26"/>
          <w:szCs w:val="26"/>
        </w:rPr>
        <w:t>Results of the scenario analysis</w:t>
      </w:r>
      <w:bookmarkEnd w:id="34"/>
    </w:p>
    <w:p w14:paraId="72EF9042" w14:textId="77777777" w:rsidR="00FE37DB" w:rsidRPr="00A20A17" w:rsidRDefault="00FE37DB" w:rsidP="00FE37DB">
      <w:pPr>
        <w:keepNext/>
        <w:spacing w:before="120"/>
        <w:rPr>
          <w:rFonts w:ascii="Calibri" w:eastAsia="Calibri" w:hAnsi="Calibri" w:cs="Arial"/>
          <w:i/>
          <w:iCs/>
          <w:color w:val="44546A"/>
          <w:sz w:val="18"/>
          <w:szCs w:val="18"/>
        </w:rPr>
      </w:pPr>
      <w:r w:rsidRPr="00A20A17">
        <w:rPr>
          <w:rFonts w:ascii="Calibri" w:eastAsia="Calibri" w:hAnsi="Calibri" w:cs="Arial"/>
          <w:i/>
          <w:iCs/>
          <w:color w:val="44546A"/>
          <w:sz w:val="18"/>
          <w:szCs w:val="18"/>
        </w:rPr>
        <w:t xml:space="preserve">Table </w:t>
      </w:r>
      <w:r w:rsidRPr="00A20A17">
        <w:rPr>
          <w:rFonts w:ascii="Calibri" w:eastAsia="Calibri" w:hAnsi="Calibri" w:cs="Arial"/>
          <w:i/>
          <w:iCs/>
          <w:color w:val="44546A"/>
          <w:sz w:val="18"/>
          <w:szCs w:val="18"/>
        </w:rPr>
        <w:fldChar w:fldCharType="begin"/>
      </w:r>
      <w:r w:rsidRPr="00A20A17">
        <w:rPr>
          <w:rFonts w:ascii="Calibri" w:eastAsia="Calibri" w:hAnsi="Calibri" w:cs="Arial"/>
          <w:i/>
          <w:iCs/>
          <w:color w:val="44546A"/>
          <w:sz w:val="18"/>
          <w:szCs w:val="18"/>
        </w:rPr>
        <w:instrText>SEQ Table \* ARABIC</w:instrText>
      </w:r>
      <w:r w:rsidRPr="00A20A17">
        <w:rPr>
          <w:rFonts w:ascii="Calibri" w:eastAsia="Calibri" w:hAnsi="Calibri" w:cs="Arial"/>
          <w:i/>
          <w:iCs/>
          <w:color w:val="44546A"/>
          <w:sz w:val="18"/>
          <w:szCs w:val="18"/>
        </w:rPr>
        <w:fldChar w:fldCharType="separate"/>
      </w:r>
      <w:r w:rsidRPr="00A20A17">
        <w:rPr>
          <w:rFonts w:ascii="Calibri" w:eastAsia="Calibri" w:hAnsi="Calibri" w:cs="Arial"/>
          <w:i/>
          <w:iCs/>
          <w:noProof/>
          <w:color w:val="44546A"/>
          <w:sz w:val="18"/>
          <w:szCs w:val="18"/>
        </w:rPr>
        <w:t>28</w:t>
      </w:r>
      <w:r w:rsidRPr="00A20A17">
        <w:rPr>
          <w:rFonts w:ascii="Calibri" w:eastAsia="Calibri" w:hAnsi="Calibri" w:cs="Arial"/>
          <w:i/>
          <w:iCs/>
          <w:color w:val="44546A"/>
          <w:sz w:val="18"/>
          <w:szCs w:val="18"/>
        </w:rPr>
        <w:fldChar w:fldCharType="end"/>
      </w:r>
      <w:r w:rsidRPr="00A20A17">
        <w:rPr>
          <w:rFonts w:ascii="Calibri" w:eastAsia="Calibri" w:hAnsi="Calibri" w:cs="Arial"/>
          <w:i/>
          <w:iCs/>
          <w:color w:val="44546A"/>
          <w:sz w:val="18"/>
          <w:szCs w:val="18"/>
        </w:rPr>
        <w:t>: Change in the number of subgroups for whom diagnosis is a net health gain compared to the base-case, at a cost-effectiveness threshold of £15,000/QALY</w:t>
      </w:r>
    </w:p>
    <w:tbl>
      <w:tblPr>
        <w:tblStyle w:val="TableGrid11"/>
        <w:tblW w:w="0" w:type="auto"/>
        <w:tblLook w:val="04A0" w:firstRow="1" w:lastRow="0" w:firstColumn="1" w:lastColumn="0" w:noHBand="0" w:noVBand="1"/>
      </w:tblPr>
      <w:tblGrid>
        <w:gridCol w:w="7606"/>
        <w:gridCol w:w="1410"/>
      </w:tblGrid>
      <w:tr w:rsidR="00FE37DB" w:rsidRPr="00A20A17" w14:paraId="4CF6644D" w14:textId="77777777" w:rsidTr="00A80B48">
        <w:trPr>
          <w:tblHeader/>
        </w:trPr>
        <w:tc>
          <w:tcPr>
            <w:tcW w:w="0" w:type="auto"/>
          </w:tcPr>
          <w:p w14:paraId="6B7E22CB" w14:textId="77777777" w:rsidR="00FE37DB" w:rsidRPr="00A20A17" w:rsidRDefault="00FE37DB" w:rsidP="00A80B48">
            <w:pPr>
              <w:spacing w:before="60" w:after="60" w:line="240" w:lineRule="auto"/>
              <w:rPr>
                <w:rFonts w:ascii="Calibri" w:eastAsia="Calibri" w:hAnsi="Calibri" w:cs="Arial"/>
                <w:b/>
                <w:bCs/>
                <w:sz w:val="18"/>
                <w:szCs w:val="18"/>
              </w:rPr>
            </w:pPr>
            <w:r w:rsidRPr="00A20A17">
              <w:rPr>
                <w:rFonts w:ascii="Calibri" w:eastAsia="Calibri" w:hAnsi="Calibri" w:cs="Arial"/>
                <w:b/>
                <w:bCs/>
                <w:sz w:val="18"/>
                <w:szCs w:val="18"/>
              </w:rPr>
              <w:t>Scenario</w:t>
            </w:r>
          </w:p>
        </w:tc>
        <w:tc>
          <w:tcPr>
            <w:tcW w:w="0" w:type="auto"/>
          </w:tcPr>
          <w:p w14:paraId="6109B876" w14:textId="77777777" w:rsidR="00FE37DB" w:rsidRPr="00A20A17" w:rsidRDefault="00FE37DB" w:rsidP="00A80B48">
            <w:pPr>
              <w:spacing w:before="60" w:after="60" w:line="240" w:lineRule="auto"/>
              <w:rPr>
                <w:rFonts w:ascii="Calibri" w:eastAsia="Calibri" w:hAnsi="Calibri" w:cs="Arial"/>
                <w:b/>
                <w:bCs/>
                <w:sz w:val="18"/>
                <w:szCs w:val="18"/>
              </w:rPr>
            </w:pPr>
            <w:r w:rsidRPr="00A20A17">
              <w:rPr>
                <w:rFonts w:ascii="Calibri" w:eastAsia="Calibri" w:hAnsi="Calibri" w:cs="Arial"/>
                <w:b/>
                <w:bCs/>
                <w:sz w:val="18"/>
                <w:szCs w:val="18"/>
              </w:rPr>
              <w:t>Change in number of subgroups</w:t>
            </w:r>
          </w:p>
        </w:tc>
      </w:tr>
      <w:tr w:rsidR="00FE37DB" w:rsidRPr="00A20A17" w14:paraId="220890DF" w14:textId="77777777" w:rsidTr="00A80B48">
        <w:tc>
          <w:tcPr>
            <w:tcW w:w="0" w:type="auto"/>
            <w:shd w:val="clear" w:color="auto" w:fill="E7E6E6"/>
          </w:tcPr>
          <w:p w14:paraId="2372CB38" w14:textId="77777777" w:rsidR="00FE37DB" w:rsidRPr="00A20A17" w:rsidRDefault="00FE37DB" w:rsidP="00A80B48">
            <w:pPr>
              <w:spacing w:before="60" w:after="60" w:line="240" w:lineRule="auto"/>
              <w:ind w:left="502" w:hanging="360"/>
              <w:rPr>
                <w:rFonts w:ascii="Calibri" w:eastAsia="Calibri" w:hAnsi="Calibri" w:cs="Arial"/>
                <w:sz w:val="18"/>
                <w:szCs w:val="18"/>
              </w:rPr>
            </w:pPr>
            <w:r w:rsidRPr="00A20A17">
              <w:rPr>
                <w:rFonts w:ascii="Calibri" w:eastAsia="Calibri" w:hAnsi="Calibri" w:cs="Arial"/>
                <w:sz w:val="18"/>
                <w:szCs w:val="18"/>
              </w:rPr>
              <w:t>Scenarios on the effects of diagnosis on health outcomes</w:t>
            </w:r>
          </w:p>
        </w:tc>
        <w:tc>
          <w:tcPr>
            <w:tcW w:w="0" w:type="auto"/>
            <w:shd w:val="clear" w:color="auto" w:fill="E7E6E6"/>
          </w:tcPr>
          <w:p w14:paraId="05EAF6BE" w14:textId="77777777" w:rsidR="00FE37DB" w:rsidRPr="00A20A17" w:rsidRDefault="00FE37DB" w:rsidP="00A80B48">
            <w:pPr>
              <w:spacing w:before="60" w:after="60" w:line="240" w:lineRule="auto"/>
              <w:rPr>
                <w:rFonts w:ascii="Calibri" w:eastAsia="Calibri" w:hAnsi="Calibri" w:cs="Arial"/>
                <w:sz w:val="18"/>
                <w:szCs w:val="18"/>
              </w:rPr>
            </w:pPr>
          </w:p>
        </w:tc>
      </w:tr>
      <w:tr w:rsidR="00FE37DB" w:rsidRPr="00A20A17" w14:paraId="6C629155" w14:textId="77777777" w:rsidTr="00A80B48">
        <w:tc>
          <w:tcPr>
            <w:tcW w:w="0" w:type="auto"/>
          </w:tcPr>
          <w:p w14:paraId="3DAA772E" w14:textId="77777777" w:rsidR="00FE37DB" w:rsidRPr="00A20A17" w:rsidRDefault="00FE37DB" w:rsidP="00A80B48">
            <w:pPr>
              <w:numPr>
                <w:ilvl w:val="0"/>
                <w:numId w:val="9"/>
              </w:numPr>
              <w:spacing w:before="60" w:after="60" w:line="240" w:lineRule="auto"/>
              <w:rPr>
                <w:rFonts w:ascii="Calibri" w:eastAsia="Calibri" w:hAnsi="Calibri" w:cs="Arial"/>
                <w:sz w:val="18"/>
                <w:szCs w:val="18"/>
              </w:rPr>
            </w:pPr>
            <w:r w:rsidRPr="00A20A17">
              <w:rPr>
                <w:rFonts w:ascii="Calibri" w:eastAsia="Calibri" w:hAnsi="Calibri" w:cs="Arial"/>
                <w:sz w:val="18"/>
                <w:szCs w:val="18"/>
              </w:rPr>
              <w:t xml:space="preserve">FH diagnosis reduces LDLC by 50% in line with the NICE CG71 target </w:t>
            </w:r>
            <w:r w:rsidRPr="00A20A17">
              <w:rPr>
                <w:rFonts w:ascii="Calibri" w:eastAsia="Calibri" w:hAnsi="Calibri" w:cs="Arial"/>
                <w:sz w:val="18"/>
                <w:szCs w:val="18"/>
              </w:rPr>
              <w:fldChar w:fldCharType="begin"/>
            </w:r>
            <w:r w:rsidRPr="00A20A17">
              <w:rPr>
                <w:rFonts w:ascii="Calibri" w:eastAsia="Calibri" w:hAnsi="Calibri" w:cs="Arial"/>
                <w:sz w:val="18"/>
                <w:szCs w:val="18"/>
              </w:rPr>
              <w:instrText xml:space="preserve"> ADDIN EN.CITE &lt;EndNote&gt;&lt;Cite&gt;&lt;Author&gt;NICE&lt;/Author&gt;&lt;Year&gt;2019&lt;/Year&gt;&lt;IDText&gt;Clinical guideline 71: identification and management of familial hypercholesterolaemia&lt;/IDText&gt;&lt;DisplayText&gt;&lt;style face="superscript"&gt;6&lt;/style&gt;&lt;/DisplayText&gt;&lt;record&gt;&lt;urls&gt;&lt;related-urls&gt;&lt;url&gt;https://www.nice.org.uk/guidance/cg71&lt;/url&gt;&lt;/related-urls&gt;&lt;/urls&gt;&lt;titles&gt;&lt;title&gt;Clinical guideline 71: identification and management of familial hypercholesterolaemia&lt;/title&gt;&lt;short-title&gt;Clinical guideline 71: identification and management of familial hypercholesterolaemia&lt;/short-title&gt;&lt;/titles&gt;&lt;access-date&gt;24/05/2021&lt;/access-date&gt;&lt;contributors&gt;&lt;authors&gt;&lt;author&gt;NICE&lt;/author&gt;&lt;/authors&gt;&lt;/contributors&gt;&lt;added-date format="utc"&gt;1603453281&lt;/added-date&gt;&lt;pub-location&gt;London, Manchester&lt;/pub-location&gt;&lt;ref-type name="Report"&gt;27&lt;/ref-type&gt;&lt;dates&gt;&lt;year&gt;2019&lt;/year&gt;&lt;/dates&gt;&lt;rec-number&gt;59&lt;/rec-number&gt;&lt;publisher&gt;NICE&lt;/publisher&gt;&lt;last-updated-date format="utc"&gt;1621854827&lt;/last-updated-date&gt;&lt;/record&gt;&lt;/Cite&gt;&lt;/EndNote&gt;</w:instrText>
            </w:r>
            <w:r w:rsidRPr="00A20A17">
              <w:rPr>
                <w:rFonts w:ascii="Calibri" w:eastAsia="Calibri" w:hAnsi="Calibri" w:cs="Arial"/>
                <w:sz w:val="18"/>
                <w:szCs w:val="18"/>
              </w:rPr>
              <w:fldChar w:fldCharType="separate"/>
            </w:r>
            <w:r w:rsidRPr="00A20A17">
              <w:rPr>
                <w:rFonts w:ascii="Calibri" w:eastAsia="Calibri" w:hAnsi="Calibri" w:cs="Arial"/>
                <w:noProof/>
                <w:sz w:val="18"/>
                <w:szCs w:val="18"/>
                <w:vertAlign w:val="superscript"/>
              </w:rPr>
              <w:t>6</w:t>
            </w:r>
            <w:r w:rsidRPr="00A20A17">
              <w:rPr>
                <w:rFonts w:ascii="Calibri" w:eastAsia="Calibri" w:hAnsi="Calibri" w:cs="Arial"/>
                <w:sz w:val="18"/>
                <w:szCs w:val="18"/>
              </w:rPr>
              <w:fldChar w:fldCharType="end"/>
            </w:r>
            <w:r w:rsidRPr="00A20A17">
              <w:rPr>
                <w:rFonts w:ascii="Calibri" w:eastAsia="Calibri" w:hAnsi="Calibri" w:cs="Arial"/>
                <w:sz w:val="18"/>
                <w:szCs w:val="18"/>
              </w:rPr>
              <w:t>.</w:t>
            </w:r>
          </w:p>
        </w:tc>
        <w:tc>
          <w:tcPr>
            <w:tcW w:w="0" w:type="auto"/>
          </w:tcPr>
          <w:p w14:paraId="4FAAF414" w14:textId="77777777" w:rsidR="00FE37DB" w:rsidRPr="00A20A17" w:rsidRDefault="00FE37DB" w:rsidP="00A80B48">
            <w:pPr>
              <w:spacing w:before="60" w:after="60" w:line="240" w:lineRule="auto"/>
              <w:jc w:val="right"/>
              <w:rPr>
                <w:rFonts w:ascii="Calibri" w:eastAsia="Calibri" w:hAnsi="Calibri" w:cs="Arial"/>
                <w:sz w:val="18"/>
                <w:szCs w:val="18"/>
              </w:rPr>
            </w:pPr>
            <w:r w:rsidRPr="00A20A17">
              <w:rPr>
                <w:rFonts w:ascii="Calibri" w:eastAsia="Calibri" w:hAnsi="Calibri" w:cs="Arial"/>
                <w:sz w:val="18"/>
                <w:szCs w:val="18"/>
              </w:rPr>
              <w:t>4</w:t>
            </w:r>
          </w:p>
        </w:tc>
      </w:tr>
      <w:tr w:rsidR="00FE37DB" w:rsidRPr="00A20A17" w14:paraId="41945BE0" w14:textId="77777777" w:rsidTr="00A80B48">
        <w:tc>
          <w:tcPr>
            <w:tcW w:w="0" w:type="auto"/>
          </w:tcPr>
          <w:p w14:paraId="1C6E6391" w14:textId="77777777" w:rsidR="00FE37DB" w:rsidRPr="00A20A17" w:rsidRDefault="00FE37DB" w:rsidP="00A80B48">
            <w:pPr>
              <w:numPr>
                <w:ilvl w:val="0"/>
                <w:numId w:val="9"/>
              </w:numPr>
              <w:spacing w:before="60" w:after="60" w:line="240" w:lineRule="auto"/>
              <w:rPr>
                <w:rFonts w:ascii="Calibri" w:eastAsia="Calibri" w:hAnsi="Calibri" w:cs="Arial"/>
                <w:sz w:val="18"/>
                <w:szCs w:val="18"/>
              </w:rPr>
            </w:pPr>
            <w:r w:rsidRPr="00A20A17">
              <w:rPr>
                <w:rFonts w:ascii="Calibri" w:eastAsia="Calibri" w:hAnsi="Calibri" w:cs="Arial"/>
                <w:sz w:val="18"/>
                <w:szCs w:val="18"/>
              </w:rPr>
              <w:t xml:space="preserve">FH diagnosis reduces LDLC to the EAS targets of 3.5 mmol/L in children and adolescents, 1.8 mmol/L in adults in primary prevention and 1.4 mmol/L in adults in secondary prevention </w:t>
            </w:r>
            <w:r w:rsidRPr="00A20A17">
              <w:rPr>
                <w:rFonts w:ascii="Calibri" w:eastAsia="Calibri" w:hAnsi="Calibri" w:cs="Arial"/>
                <w:sz w:val="18"/>
                <w:szCs w:val="18"/>
              </w:rPr>
              <w:fldChar w:fldCharType="begin">
                <w:fldData xml:space="preserve">PEVuZE5vdGU+PENpdGU+PEF1dGhvcj5NYWNoPC9BdXRob3I+PFllYXI+MjAxOTwvWWVhcj48SURU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</w:fldData>
              </w:fldChar>
            </w:r>
            <w:r w:rsidRPr="00A20A17">
              <w:rPr>
                <w:rFonts w:ascii="Calibri" w:eastAsia="Calibri" w:hAnsi="Calibri" w:cs="Arial"/>
                <w:sz w:val="18"/>
                <w:szCs w:val="18"/>
              </w:rPr>
              <w:instrText xml:space="preserve"> ADDIN EN.CITE </w:instrText>
            </w:r>
            <w:r w:rsidRPr="00A20A17">
              <w:rPr>
                <w:rFonts w:ascii="Calibri" w:eastAsia="Calibri" w:hAnsi="Calibri" w:cs="Arial"/>
                <w:sz w:val="18"/>
                <w:szCs w:val="18"/>
              </w:rPr>
              <w:fldChar w:fldCharType="begin">
                <w:fldData xml:space="preserve">PEVuZE5vdGU+PENpdGU+PEF1dGhvcj5NYWNoPC9BdXRob3I+PFllYXI+MjAxOTwvWWVhcj48SURU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</w:fldData>
              </w:fldChar>
            </w:r>
            <w:r w:rsidRPr="00A20A17">
              <w:rPr>
                <w:rFonts w:ascii="Calibri" w:eastAsia="Calibri" w:hAnsi="Calibri" w:cs="Arial"/>
                <w:sz w:val="18"/>
                <w:szCs w:val="18"/>
              </w:rPr>
              <w:instrText xml:space="preserve"> ADDIN EN.CITE.DATA </w:instrText>
            </w:r>
            <w:r w:rsidRPr="00A20A17">
              <w:rPr>
                <w:rFonts w:ascii="Calibri" w:eastAsia="Calibri" w:hAnsi="Calibri" w:cs="Arial"/>
                <w:sz w:val="18"/>
                <w:szCs w:val="18"/>
              </w:rPr>
            </w:r>
            <w:r w:rsidRPr="00A20A17">
              <w:rPr>
                <w:rFonts w:ascii="Calibri" w:eastAsia="Calibri" w:hAnsi="Calibri" w:cs="Arial"/>
                <w:sz w:val="18"/>
                <w:szCs w:val="18"/>
              </w:rPr>
              <w:fldChar w:fldCharType="end"/>
            </w:r>
            <w:r w:rsidRPr="00A20A17">
              <w:rPr>
                <w:rFonts w:ascii="Calibri" w:eastAsia="Calibri" w:hAnsi="Calibri" w:cs="Arial"/>
                <w:sz w:val="18"/>
                <w:szCs w:val="18"/>
              </w:rPr>
            </w:r>
            <w:r w:rsidRPr="00A20A17">
              <w:rPr>
                <w:rFonts w:ascii="Calibri" w:eastAsia="Calibri" w:hAnsi="Calibri" w:cs="Arial"/>
                <w:sz w:val="18"/>
                <w:szCs w:val="18"/>
              </w:rPr>
              <w:fldChar w:fldCharType="separate"/>
            </w:r>
            <w:r w:rsidRPr="00A20A17">
              <w:rPr>
                <w:rFonts w:ascii="Calibri" w:eastAsia="Calibri" w:hAnsi="Calibri" w:cs="Arial"/>
                <w:noProof/>
                <w:sz w:val="18"/>
                <w:szCs w:val="18"/>
                <w:vertAlign w:val="superscript"/>
              </w:rPr>
              <w:t>23</w:t>
            </w:r>
            <w:r w:rsidRPr="00A20A17">
              <w:rPr>
                <w:rFonts w:ascii="Calibri" w:eastAsia="Calibri" w:hAnsi="Calibri" w:cs="Arial"/>
                <w:sz w:val="18"/>
                <w:szCs w:val="18"/>
              </w:rPr>
              <w:fldChar w:fldCharType="end"/>
            </w:r>
            <w:r w:rsidRPr="00A20A17">
              <w:rPr>
                <w:rFonts w:ascii="Calibri" w:eastAsia="Calibri" w:hAnsi="Calibri" w:cs="Arial"/>
                <w:sz w:val="18"/>
                <w:szCs w:val="18"/>
              </w:rPr>
              <w:t>.</w:t>
            </w:r>
          </w:p>
        </w:tc>
        <w:tc>
          <w:tcPr>
            <w:tcW w:w="0" w:type="auto"/>
          </w:tcPr>
          <w:p w14:paraId="51EE648D" w14:textId="77777777" w:rsidR="00FE37DB" w:rsidRPr="00A20A17" w:rsidRDefault="00FE37DB" w:rsidP="00A80B48">
            <w:pPr>
              <w:spacing w:before="60" w:after="60" w:line="240" w:lineRule="auto"/>
              <w:jc w:val="right"/>
              <w:rPr>
                <w:rFonts w:ascii="Calibri" w:eastAsia="Calibri" w:hAnsi="Calibri" w:cs="Arial"/>
                <w:sz w:val="18"/>
                <w:szCs w:val="18"/>
              </w:rPr>
            </w:pPr>
            <w:r w:rsidRPr="00A20A17">
              <w:rPr>
                <w:rFonts w:ascii="Calibri" w:eastAsia="Calibri" w:hAnsi="Calibri" w:cs="Arial"/>
                <w:sz w:val="18"/>
                <w:szCs w:val="18"/>
              </w:rPr>
              <w:t>-8</w:t>
            </w:r>
          </w:p>
        </w:tc>
      </w:tr>
      <w:tr w:rsidR="00FE37DB" w:rsidRPr="00A20A17" w14:paraId="1A00D997" w14:textId="77777777" w:rsidTr="00A80B48">
        <w:tc>
          <w:tcPr>
            <w:tcW w:w="0" w:type="auto"/>
          </w:tcPr>
          <w:p w14:paraId="7395745E" w14:textId="77777777" w:rsidR="00FE37DB" w:rsidRPr="00A20A17" w:rsidRDefault="00FE37DB" w:rsidP="00A80B48">
            <w:pPr>
              <w:numPr>
                <w:ilvl w:val="0"/>
                <w:numId w:val="9"/>
              </w:numPr>
              <w:spacing w:before="60" w:after="60" w:line="240" w:lineRule="auto"/>
              <w:rPr>
                <w:rFonts w:ascii="Calibri" w:eastAsia="Calibri" w:hAnsi="Calibri" w:cs="Arial"/>
                <w:sz w:val="18"/>
                <w:szCs w:val="18"/>
              </w:rPr>
            </w:pPr>
            <w:r w:rsidRPr="00A20A17">
              <w:rPr>
                <w:rFonts w:ascii="Calibri" w:eastAsia="Calibri" w:hAnsi="Calibri" w:cs="Arial"/>
                <w:sz w:val="18"/>
                <w:szCs w:val="18"/>
              </w:rPr>
              <w:t xml:space="preserve">FH diagnosis reduces LDLC by 40%, which is 80% of the NICE CG71 target </w:t>
            </w:r>
            <w:r w:rsidRPr="00A20A17">
              <w:rPr>
                <w:rFonts w:ascii="Calibri" w:eastAsia="Calibri" w:hAnsi="Calibri" w:cs="Arial"/>
                <w:sz w:val="18"/>
                <w:szCs w:val="18"/>
              </w:rPr>
              <w:fldChar w:fldCharType="begin"/>
            </w:r>
            <w:r w:rsidRPr="00A20A17">
              <w:rPr>
                <w:rFonts w:ascii="Calibri" w:eastAsia="Calibri" w:hAnsi="Calibri" w:cs="Arial"/>
                <w:sz w:val="18"/>
                <w:szCs w:val="18"/>
              </w:rPr>
              <w:instrText xml:space="preserve"> ADDIN EN.CITE &lt;EndNote&gt;&lt;Cite&gt;&lt;Author&gt;NICE&lt;/Author&gt;&lt;Year&gt;2019&lt;/Year&gt;&lt;IDText&gt;Clinical guideline 71: identification and management of familial hypercholesterolaemia&lt;/IDText&gt;&lt;DisplayText&gt;&lt;style face="superscript"&gt;6&lt;/style&gt;&lt;/DisplayText&gt;&lt;record&gt;&lt;urls&gt;&lt;related-urls&gt;&lt;url&gt;https://www.nice.org.uk/guidance/cg71&lt;/url&gt;&lt;/related-urls&gt;&lt;/urls&gt;&lt;titles&gt;&lt;title&gt;Clinical guideline 71: identification and management of familial hypercholesterolaemia&lt;/title&gt;&lt;short-title&gt;Clinical guideline 71: identification and management of familial hypercholesterolaemia&lt;/short-title&gt;&lt;/titles&gt;&lt;access-date&gt;24/05/2021&lt;/access-date&gt;&lt;contributors&gt;&lt;authors&gt;&lt;author&gt;NICE&lt;/author&gt;&lt;/authors&gt;&lt;/contributors&gt;&lt;added-date format="utc"&gt;1603453281&lt;/added-date&gt;&lt;pub-location&gt;London, Manchester&lt;/pub-location&gt;&lt;ref-type name="Report"&gt;27&lt;/ref-type&gt;&lt;dates&gt;&lt;year&gt;2019&lt;/year&gt;&lt;/dates&gt;&lt;rec-number&gt;59&lt;/rec-number&gt;&lt;publisher&gt;NICE&lt;/publisher&gt;&lt;last-updated-date format="utc"&gt;1621854827&lt;/last-updated-date&gt;&lt;/record&gt;&lt;/Cite&gt;&lt;/EndNote&gt;</w:instrText>
            </w:r>
            <w:r w:rsidRPr="00A20A17">
              <w:rPr>
                <w:rFonts w:ascii="Calibri" w:eastAsia="Calibri" w:hAnsi="Calibri" w:cs="Arial"/>
                <w:sz w:val="18"/>
                <w:szCs w:val="18"/>
              </w:rPr>
              <w:fldChar w:fldCharType="separate"/>
            </w:r>
            <w:r w:rsidRPr="00A20A17">
              <w:rPr>
                <w:rFonts w:ascii="Calibri" w:eastAsia="Calibri" w:hAnsi="Calibri" w:cs="Arial"/>
                <w:noProof/>
                <w:sz w:val="18"/>
                <w:szCs w:val="18"/>
                <w:vertAlign w:val="superscript"/>
              </w:rPr>
              <w:t>6</w:t>
            </w:r>
            <w:r w:rsidRPr="00A20A17">
              <w:rPr>
                <w:rFonts w:ascii="Calibri" w:eastAsia="Calibri" w:hAnsi="Calibri" w:cs="Arial"/>
                <w:sz w:val="18"/>
                <w:szCs w:val="18"/>
              </w:rPr>
              <w:fldChar w:fldCharType="end"/>
            </w:r>
            <w:r w:rsidRPr="00A20A17">
              <w:rPr>
                <w:rFonts w:ascii="Calibri" w:eastAsia="Calibri" w:hAnsi="Calibri" w:cs="Arial"/>
                <w:sz w:val="18"/>
                <w:szCs w:val="18"/>
              </w:rPr>
              <w:t>.</w:t>
            </w:r>
          </w:p>
        </w:tc>
        <w:tc>
          <w:tcPr>
            <w:tcW w:w="0" w:type="auto"/>
          </w:tcPr>
          <w:p w14:paraId="479E2BBD" w14:textId="77777777" w:rsidR="00FE37DB" w:rsidRPr="00A20A17" w:rsidRDefault="00FE37DB" w:rsidP="00A80B48">
            <w:pPr>
              <w:spacing w:before="60" w:after="60" w:line="240" w:lineRule="auto"/>
              <w:jc w:val="right"/>
              <w:rPr>
                <w:rFonts w:ascii="Calibri" w:eastAsia="Calibri" w:hAnsi="Calibri" w:cs="Arial"/>
                <w:sz w:val="18"/>
                <w:szCs w:val="18"/>
              </w:rPr>
            </w:pPr>
            <w:r w:rsidRPr="00A20A17">
              <w:rPr>
                <w:rFonts w:ascii="Calibri" w:eastAsia="Calibri" w:hAnsi="Calibri" w:cs="Arial"/>
                <w:sz w:val="18"/>
                <w:szCs w:val="18"/>
              </w:rPr>
              <w:t>3</w:t>
            </w:r>
          </w:p>
        </w:tc>
      </w:tr>
      <w:tr w:rsidR="00FE37DB" w:rsidRPr="00A20A17" w14:paraId="1DB81B39" w14:textId="77777777" w:rsidTr="00A80B48">
        <w:tc>
          <w:tcPr>
            <w:tcW w:w="0" w:type="auto"/>
          </w:tcPr>
          <w:p w14:paraId="2DA826DC" w14:textId="77777777" w:rsidR="00FE37DB" w:rsidRPr="00A20A17" w:rsidRDefault="00FE37DB" w:rsidP="00A80B48">
            <w:pPr>
              <w:numPr>
                <w:ilvl w:val="0"/>
                <w:numId w:val="9"/>
              </w:numPr>
              <w:spacing w:before="60" w:after="60" w:line="240" w:lineRule="auto"/>
              <w:rPr>
                <w:rFonts w:ascii="Calibri" w:eastAsia="Calibri" w:hAnsi="Calibri" w:cs="Arial"/>
                <w:sz w:val="18"/>
                <w:szCs w:val="18"/>
              </w:rPr>
            </w:pPr>
            <w:r w:rsidRPr="00A20A17">
              <w:rPr>
                <w:rFonts w:ascii="Calibri" w:eastAsia="Calibri" w:hAnsi="Calibri" w:cs="Arial"/>
                <w:sz w:val="18"/>
                <w:szCs w:val="18"/>
              </w:rPr>
              <w:t>FH diagnosis reduces LDLC depending on PT-LDLC, from 5% in those with PT-LDLC 1 mol/L to 40% in those with PT-LDLC = 8 mmol/L, in 5% increments.</w:t>
            </w:r>
          </w:p>
        </w:tc>
        <w:tc>
          <w:tcPr>
            <w:tcW w:w="0" w:type="auto"/>
          </w:tcPr>
          <w:p w14:paraId="26E797D2" w14:textId="77777777" w:rsidR="00FE37DB" w:rsidRPr="00A20A17" w:rsidRDefault="00FE37DB" w:rsidP="00A80B48">
            <w:pPr>
              <w:spacing w:before="60" w:after="60" w:line="240" w:lineRule="auto"/>
              <w:jc w:val="right"/>
              <w:rPr>
                <w:rFonts w:ascii="Calibri" w:eastAsia="Calibri" w:hAnsi="Calibri" w:cs="Arial"/>
                <w:sz w:val="18"/>
                <w:szCs w:val="18"/>
              </w:rPr>
            </w:pPr>
            <w:r w:rsidRPr="00A20A17">
              <w:rPr>
                <w:rFonts w:ascii="Calibri" w:eastAsia="Calibri" w:hAnsi="Calibri" w:cs="Arial"/>
                <w:sz w:val="18"/>
                <w:szCs w:val="18"/>
              </w:rPr>
              <w:t>3</w:t>
            </w:r>
          </w:p>
        </w:tc>
      </w:tr>
      <w:tr w:rsidR="00FE37DB" w:rsidRPr="00A20A17" w14:paraId="77FC04C8" w14:textId="77777777" w:rsidTr="00A80B48">
        <w:tc>
          <w:tcPr>
            <w:tcW w:w="0" w:type="auto"/>
          </w:tcPr>
          <w:p w14:paraId="3AF91B92" w14:textId="77777777" w:rsidR="00FE37DB" w:rsidRPr="00A20A17" w:rsidRDefault="00FE37DB" w:rsidP="00A80B48">
            <w:pPr>
              <w:numPr>
                <w:ilvl w:val="0"/>
                <w:numId w:val="9"/>
              </w:numPr>
              <w:spacing w:before="60" w:after="60" w:line="240" w:lineRule="auto"/>
              <w:rPr>
                <w:rFonts w:ascii="Calibri" w:eastAsia="Calibri" w:hAnsi="Calibri" w:cs="Arial"/>
                <w:sz w:val="18"/>
                <w:szCs w:val="18"/>
              </w:rPr>
            </w:pPr>
            <w:r w:rsidRPr="00A20A17">
              <w:rPr>
                <w:rFonts w:ascii="Calibri" w:eastAsia="Calibri" w:hAnsi="Calibri" w:cs="Arial"/>
                <w:sz w:val="18"/>
                <w:szCs w:val="18"/>
              </w:rPr>
              <w:t>Lower LDLC does not affect the risk of non-CV death.</w:t>
            </w:r>
          </w:p>
        </w:tc>
        <w:tc>
          <w:tcPr>
            <w:tcW w:w="0" w:type="auto"/>
          </w:tcPr>
          <w:p w14:paraId="01A37CEB" w14:textId="77777777" w:rsidR="00FE37DB" w:rsidRPr="00A20A17" w:rsidRDefault="00FE37DB" w:rsidP="00A80B48">
            <w:pPr>
              <w:spacing w:before="60" w:after="60" w:line="240" w:lineRule="auto"/>
              <w:jc w:val="right"/>
              <w:rPr>
                <w:rFonts w:ascii="Calibri" w:eastAsia="Calibri" w:hAnsi="Calibri" w:cs="Arial"/>
                <w:sz w:val="18"/>
                <w:szCs w:val="18"/>
              </w:rPr>
            </w:pPr>
            <w:r w:rsidRPr="00A20A17">
              <w:rPr>
                <w:rFonts w:ascii="Calibri" w:eastAsia="Calibri" w:hAnsi="Calibri" w:cs="Arial"/>
                <w:sz w:val="18"/>
                <w:szCs w:val="18"/>
              </w:rPr>
              <w:t>-4</w:t>
            </w:r>
          </w:p>
        </w:tc>
      </w:tr>
      <w:tr w:rsidR="00FE37DB" w:rsidRPr="00A20A17" w14:paraId="0EFA87A4" w14:textId="77777777" w:rsidTr="00A80B48">
        <w:tc>
          <w:tcPr>
            <w:tcW w:w="0" w:type="auto"/>
          </w:tcPr>
          <w:p w14:paraId="1A505C74" w14:textId="77777777" w:rsidR="00FE37DB" w:rsidRPr="00A20A17" w:rsidRDefault="00FE37DB" w:rsidP="00A80B48">
            <w:pPr>
              <w:numPr>
                <w:ilvl w:val="0"/>
                <w:numId w:val="9"/>
              </w:numPr>
              <w:spacing w:before="60" w:after="60" w:line="240" w:lineRule="auto"/>
              <w:rPr>
                <w:rFonts w:ascii="Calibri" w:eastAsia="Calibri" w:hAnsi="Calibri" w:cs="Arial"/>
                <w:sz w:val="18"/>
                <w:szCs w:val="18"/>
              </w:rPr>
            </w:pPr>
            <w:r w:rsidRPr="00A20A17">
              <w:rPr>
                <w:rFonts w:ascii="Calibri" w:eastAsia="Calibri" w:hAnsi="Calibri" w:cs="Arial"/>
                <w:sz w:val="18"/>
                <w:szCs w:val="18"/>
              </w:rPr>
              <w:t xml:space="preserve">Diagnosed individuals have no benefits and no costs of treatment if their pre-treatment LDLC &lt; EAS target of 1.8 mmol/L in adults in primary prevention and 1.4 mmol/L in adults in secondary prevention </w:t>
            </w:r>
            <w:r w:rsidRPr="00A20A17">
              <w:rPr>
                <w:rFonts w:ascii="Calibri" w:eastAsia="Calibri" w:hAnsi="Calibri" w:cs="Arial"/>
                <w:sz w:val="18"/>
                <w:szCs w:val="18"/>
              </w:rPr>
              <w:fldChar w:fldCharType="begin">
                <w:fldData xml:space="preserve">PEVuZE5vdGU+PENpdGU+PEF1dGhvcj5NYWNoPC9BdXRob3I+PFllYXI+MjAxOTwvWWVhcj48SURU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</w:fldData>
              </w:fldChar>
            </w:r>
            <w:r w:rsidRPr="00A20A17">
              <w:rPr>
                <w:rFonts w:ascii="Calibri" w:eastAsia="Calibri" w:hAnsi="Calibri" w:cs="Arial"/>
                <w:sz w:val="18"/>
                <w:szCs w:val="18"/>
              </w:rPr>
              <w:instrText xml:space="preserve"> ADDIN EN.CITE </w:instrText>
            </w:r>
            <w:r w:rsidRPr="00A20A17">
              <w:rPr>
                <w:rFonts w:ascii="Calibri" w:eastAsia="Calibri" w:hAnsi="Calibri" w:cs="Arial"/>
                <w:sz w:val="18"/>
                <w:szCs w:val="18"/>
              </w:rPr>
              <w:fldChar w:fldCharType="begin">
                <w:fldData xml:space="preserve">PEVuZE5vdGU+PENpdGU+PEF1dGhvcj5NYWNoPC9BdXRob3I+PFllYXI+MjAxOTwvWWVhcj48SURU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</w:fldData>
              </w:fldChar>
            </w:r>
            <w:r w:rsidRPr="00A20A17">
              <w:rPr>
                <w:rFonts w:ascii="Calibri" w:eastAsia="Calibri" w:hAnsi="Calibri" w:cs="Arial"/>
                <w:sz w:val="18"/>
                <w:szCs w:val="18"/>
              </w:rPr>
              <w:instrText xml:space="preserve"> ADDIN EN.CITE.DATA </w:instrText>
            </w:r>
            <w:r w:rsidRPr="00A20A17">
              <w:rPr>
                <w:rFonts w:ascii="Calibri" w:eastAsia="Calibri" w:hAnsi="Calibri" w:cs="Arial"/>
                <w:sz w:val="18"/>
                <w:szCs w:val="18"/>
              </w:rPr>
            </w:r>
            <w:r w:rsidRPr="00A20A17">
              <w:rPr>
                <w:rFonts w:ascii="Calibri" w:eastAsia="Calibri" w:hAnsi="Calibri" w:cs="Arial"/>
                <w:sz w:val="18"/>
                <w:szCs w:val="18"/>
              </w:rPr>
              <w:fldChar w:fldCharType="end"/>
            </w:r>
            <w:r w:rsidRPr="00A20A17">
              <w:rPr>
                <w:rFonts w:ascii="Calibri" w:eastAsia="Calibri" w:hAnsi="Calibri" w:cs="Arial"/>
                <w:sz w:val="18"/>
                <w:szCs w:val="18"/>
              </w:rPr>
            </w:r>
            <w:r w:rsidRPr="00A20A17">
              <w:rPr>
                <w:rFonts w:ascii="Calibri" w:eastAsia="Calibri" w:hAnsi="Calibri" w:cs="Arial"/>
                <w:sz w:val="18"/>
                <w:szCs w:val="18"/>
              </w:rPr>
              <w:fldChar w:fldCharType="separate"/>
            </w:r>
            <w:r w:rsidRPr="00A20A17">
              <w:rPr>
                <w:rFonts w:ascii="Calibri" w:eastAsia="Calibri" w:hAnsi="Calibri" w:cs="Arial"/>
                <w:noProof/>
                <w:sz w:val="18"/>
                <w:szCs w:val="18"/>
                <w:vertAlign w:val="superscript"/>
              </w:rPr>
              <w:t>23</w:t>
            </w:r>
            <w:r w:rsidRPr="00A20A17">
              <w:rPr>
                <w:rFonts w:ascii="Calibri" w:eastAsia="Calibri" w:hAnsi="Calibri" w:cs="Arial"/>
                <w:sz w:val="18"/>
                <w:szCs w:val="18"/>
              </w:rPr>
              <w:fldChar w:fldCharType="end"/>
            </w:r>
            <w:r w:rsidRPr="00A20A17">
              <w:rPr>
                <w:rFonts w:ascii="Calibri" w:eastAsia="Calibri" w:hAnsi="Calibri" w:cs="Arial"/>
                <w:sz w:val="18"/>
                <w:szCs w:val="18"/>
              </w:rPr>
              <w:t>.</w:t>
            </w:r>
          </w:p>
        </w:tc>
        <w:tc>
          <w:tcPr>
            <w:tcW w:w="0" w:type="auto"/>
          </w:tcPr>
          <w:p w14:paraId="17F78D75" w14:textId="77777777" w:rsidR="00FE37DB" w:rsidRPr="00A20A17" w:rsidRDefault="00FE37DB" w:rsidP="00A80B48">
            <w:pPr>
              <w:spacing w:before="60" w:after="60" w:line="240" w:lineRule="auto"/>
              <w:jc w:val="right"/>
              <w:rPr>
                <w:rFonts w:ascii="Calibri" w:eastAsia="Calibri" w:hAnsi="Calibri" w:cs="Arial"/>
                <w:sz w:val="18"/>
                <w:szCs w:val="18"/>
              </w:rPr>
            </w:pPr>
            <w:r w:rsidRPr="00A20A17">
              <w:rPr>
                <w:rFonts w:ascii="Calibri" w:eastAsia="Calibri" w:hAnsi="Calibri" w:cs="Arial"/>
                <w:sz w:val="18"/>
                <w:szCs w:val="18"/>
              </w:rPr>
              <w:t>-2</w:t>
            </w:r>
          </w:p>
        </w:tc>
      </w:tr>
      <w:tr w:rsidR="00FE37DB" w:rsidRPr="00A20A17" w14:paraId="30909EFE" w14:textId="77777777" w:rsidTr="00A80B48">
        <w:tc>
          <w:tcPr>
            <w:tcW w:w="0" w:type="auto"/>
          </w:tcPr>
          <w:p w14:paraId="3C3252A7" w14:textId="77777777" w:rsidR="00FE37DB" w:rsidRPr="00A20A17" w:rsidRDefault="00FE37DB" w:rsidP="00A80B48">
            <w:pPr>
              <w:numPr>
                <w:ilvl w:val="0"/>
                <w:numId w:val="9"/>
              </w:numPr>
              <w:spacing w:before="60" w:after="60" w:line="240" w:lineRule="auto"/>
              <w:rPr>
                <w:rFonts w:ascii="Calibri" w:eastAsia="Calibri" w:hAnsi="Calibri" w:cs="Arial"/>
                <w:sz w:val="18"/>
                <w:szCs w:val="18"/>
              </w:rPr>
            </w:pPr>
            <w:r w:rsidRPr="00A20A17">
              <w:rPr>
                <w:rFonts w:ascii="Calibri" w:eastAsia="Calibri" w:hAnsi="Calibri" w:cs="Arial"/>
                <w:sz w:val="18"/>
                <w:szCs w:val="18"/>
              </w:rPr>
              <w:t>Diagnosed individuals have no benefits and no costs of treatment if their pre-treatment LDLC &lt; 3 mmol/L for primary prevention and &lt; 2 mmol/L for secondary prevention.</w:t>
            </w:r>
          </w:p>
        </w:tc>
        <w:tc>
          <w:tcPr>
            <w:tcW w:w="0" w:type="auto"/>
          </w:tcPr>
          <w:p w14:paraId="7199B3B8" w14:textId="77777777" w:rsidR="00FE37DB" w:rsidRPr="00A20A17" w:rsidRDefault="00FE37DB" w:rsidP="00A80B48">
            <w:pPr>
              <w:spacing w:before="60" w:after="60" w:line="240" w:lineRule="auto"/>
              <w:jc w:val="right"/>
              <w:rPr>
                <w:rFonts w:ascii="Calibri" w:eastAsia="Calibri" w:hAnsi="Calibri" w:cs="Arial"/>
                <w:sz w:val="18"/>
                <w:szCs w:val="18"/>
              </w:rPr>
            </w:pPr>
            <w:r w:rsidRPr="00A20A17">
              <w:rPr>
                <w:rFonts w:ascii="Calibri" w:eastAsia="Calibri" w:hAnsi="Calibri" w:cs="Arial"/>
                <w:sz w:val="18"/>
                <w:szCs w:val="18"/>
              </w:rPr>
              <w:t>-14</w:t>
            </w:r>
          </w:p>
        </w:tc>
      </w:tr>
      <w:tr w:rsidR="00FE37DB" w:rsidRPr="00A20A17" w14:paraId="1130B51C" w14:textId="77777777" w:rsidTr="00A80B48">
        <w:tc>
          <w:tcPr>
            <w:tcW w:w="0" w:type="auto"/>
          </w:tcPr>
          <w:p w14:paraId="37304792" w14:textId="77777777" w:rsidR="00FE37DB" w:rsidRPr="00A20A17" w:rsidRDefault="00FE37DB" w:rsidP="00A80B48">
            <w:pPr>
              <w:numPr>
                <w:ilvl w:val="0"/>
                <w:numId w:val="9"/>
              </w:numPr>
              <w:spacing w:before="60" w:after="60" w:line="240" w:lineRule="auto"/>
              <w:rPr>
                <w:rFonts w:ascii="Calibri" w:eastAsia="Calibri" w:hAnsi="Calibri" w:cs="Arial"/>
                <w:sz w:val="18"/>
                <w:szCs w:val="18"/>
              </w:rPr>
            </w:pPr>
            <w:r w:rsidRPr="00A20A17">
              <w:rPr>
                <w:rFonts w:ascii="Calibri" w:eastAsia="Calibri" w:hAnsi="Calibri" w:cs="Arial"/>
                <w:sz w:val="18"/>
                <w:szCs w:val="18"/>
              </w:rPr>
              <w:t xml:space="preserve">LDLC burden is not included, and the effect of LDLC on CV risk is obtained from the relationship estimated by the CTTC meta-analysis  </w:t>
            </w:r>
            <w:r w:rsidRPr="00A20A17">
              <w:rPr>
                <w:rFonts w:ascii="Calibri" w:eastAsia="Calibri" w:hAnsi="Calibri" w:cs="Arial"/>
                <w:sz w:val="18"/>
                <w:szCs w:val="18"/>
              </w:rPr>
              <w:fldChar w:fldCharType="begin"/>
            </w:r>
            <w:r w:rsidRPr="00A20A17">
              <w:rPr>
                <w:rFonts w:ascii="Calibri" w:eastAsia="Calibri" w:hAnsi="Calibri" w:cs="Arial"/>
                <w:sz w:val="18"/>
                <w:szCs w:val="18"/>
              </w:rPr>
              <w:instrText xml:space="preserve"> ADDIN EN.CITE &lt;EndNote&gt;&lt;Cite&gt;&lt;Author&gt;Cholesterol&lt;/Author&gt;&lt;Year&gt;2019&lt;/Year&gt;&lt;IDText&gt;Efficacy and safety of statin therapy in older people: a meta-analysis of individual participant data from 28 randomised controlled trials&lt;/IDText&gt;&lt;DisplayText&gt;&lt;style face="superscript"&gt;16&lt;/style&gt;&lt;/DisplayText&gt;&lt;record&gt;&lt;dates&gt;&lt;pub-dates&gt;&lt;date&gt;02&lt;/date&gt;&lt;/pub-dates&gt;&lt;year&gt;2019&lt;/year&gt;&lt;/dates&gt;&lt;keywords&gt;&lt;keyword&gt;Age Factors&lt;/keyword&gt;&lt;keyword&gt;Aged&lt;/keyword&gt;&lt;keyword&gt;Humans&lt;/keyword&gt;&lt;keyword&gt;Hydroxymethylglutaryl-CoA Reductase Inhibitors&lt;/keyword&gt;&lt;keyword&gt;Randomized Controlled Trials as Topic&lt;/keyword&gt;&lt;/keywords&gt;&lt;urls&gt;&lt;related-urls&gt;&lt;url&gt;https://www.ncbi.nlm.nih.gov/pubmed/30712900&lt;/url&gt;&lt;/related-urls&gt;&lt;/urls&gt;&lt;isbn&gt;1474-547X&lt;/isbn&gt;&lt;custom2&gt;PMC6429627&lt;/custom2&gt;&lt;titles&gt;&lt;title&gt;Efficacy and safety of statin therapy in older people: a meta-analysis of individual participant data from 28 randomised controlled trials&lt;/title&gt;&lt;secondary-title&gt;Lancet&lt;/secondary-title&gt;&lt;/titles&gt;&lt;pages&gt;407-415&lt;/pages&gt;&lt;number&gt;10170&lt;/number&gt;&lt;contributors&gt;&lt;authors&gt;&lt;author&gt;Cholesterol Treatment Trialists&amp;apos; Collaboration&lt;/author&gt;&lt;/authors&gt;&lt;/contributors&gt;&lt;language&gt;eng&lt;/language&gt;&lt;added-date format="utc"&gt;1620903413&lt;/added-date&gt;&lt;ref-type name="Journal Article"&gt;17&lt;/ref-type&gt;&lt;rec-number&gt;149&lt;/rec-number&gt;&lt;last-updated-date format="utc"&gt;1620903413&lt;/last-updated-date&gt;&lt;accession-num&gt;30712900&lt;/accession-num&gt;&lt;electronic-resource-num&gt;10.1016/S0140-6736(18)31942-1&lt;/electronic-resource-num&gt;&lt;volume&gt;393&lt;/volume&gt;&lt;/record&gt;&lt;/Cite&gt;&lt;/EndNote&gt;</w:instrText>
            </w:r>
            <w:r w:rsidRPr="00A20A17">
              <w:rPr>
                <w:rFonts w:ascii="Calibri" w:eastAsia="Calibri" w:hAnsi="Calibri" w:cs="Arial"/>
                <w:sz w:val="18"/>
                <w:szCs w:val="18"/>
              </w:rPr>
              <w:fldChar w:fldCharType="separate"/>
            </w:r>
            <w:r w:rsidRPr="00A20A17">
              <w:rPr>
                <w:rFonts w:ascii="Calibri" w:eastAsia="Calibri" w:hAnsi="Calibri" w:cs="Arial"/>
                <w:noProof/>
                <w:sz w:val="18"/>
                <w:szCs w:val="18"/>
                <w:vertAlign w:val="superscript"/>
              </w:rPr>
              <w:t>16</w:t>
            </w:r>
            <w:r w:rsidRPr="00A20A17">
              <w:rPr>
                <w:rFonts w:ascii="Calibri" w:eastAsia="Calibri" w:hAnsi="Calibri" w:cs="Arial"/>
                <w:sz w:val="18"/>
                <w:szCs w:val="18"/>
              </w:rPr>
              <w:fldChar w:fldCharType="end"/>
            </w:r>
            <w:r w:rsidRPr="00A20A17">
              <w:rPr>
                <w:rFonts w:ascii="Calibri" w:eastAsia="Calibri" w:hAnsi="Calibri" w:cs="Arial"/>
                <w:sz w:val="18"/>
                <w:szCs w:val="18"/>
              </w:rPr>
              <w:t xml:space="preserve">: rate ratio = 0.79 for major vascular events per 1 mmol/L LDLC reduction. </w:t>
            </w:r>
          </w:p>
        </w:tc>
        <w:tc>
          <w:tcPr>
            <w:tcW w:w="0" w:type="auto"/>
          </w:tcPr>
          <w:p w14:paraId="523688F3" w14:textId="77777777" w:rsidR="00FE37DB" w:rsidRPr="00A20A17" w:rsidRDefault="00FE37DB" w:rsidP="00A80B48">
            <w:pPr>
              <w:spacing w:before="60" w:after="60" w:line="240" w:lineRule="auto"/>
              <w:jc w:val="right"/>
              <w:rPr>
                <w:rFonts w:ascii="Calibri" w:eastAsia="Calibri" w:hAnsi="Calibri" w:cs="Arial"/>
                <w:sz w:val="18"/>
                <w:szCs w:val="18"/>
              </w:rPr>
            </w:pPr>
            <w:r w:rsidRPr="00A20A17">
              <w:rPr>
                <w:rFonts w:ascii="Calibri" w:eastAsia="Calibri" w:hAnsi="Calibri" w:cs="Arial"/>
                <w:sz w:val="18"/>
                <w:szCs w:val="18"/>
              </w:rPr>
              <w:t>-14</w:t>
            </w:r>
          </w:p>
        </w:tc>
      </w:tr>
      <w:tr w:rsidR="00FE37DB" w:rsidRPr="00A20A17" w14:paraId="0317A086" w14:textId="77777777" w:rsidTr="00A80B48">
        <w:tc>
          <w:tcPr>
            <w:tcW w:w="0" w:type="auto"/>
            <w:shd w:val="clear" w:color="auto" w:fill="auto"/>
          </w:tcPr>
          <w:p w14:paraId="14A0BD0E" w14:textId="77777777" w:rsidR="00FE37DB" w:rsidRPr="00A20A17" w:rsidRDefault="00FE37DB" w:rsidP="00A80B48">
            <w:pPr>
              <w:numPr>
                <w:ilvl w:val="0"/>
                <w:numId w:val="9"/>
              </w:numPr>
              <w:spacing w:before="60" w:after="60" w:line="240" w:lineRule="auto"/>
              <w:rPr>
                <w:rFonts w:ascii="Calibri" w:eastAsia="Calibri" w:hAnsi="Calibri" w:cs="Arial"/>
                <w:sz w:val="18"/>
                <w:szCs w:val="18"/>
              </w:rPr>
            </w:pPr>
            <w:r w:rsidRPr="00A20A17">
              <w:rPr>
                <w:rFonts w:ascii="Calibri" w:eastAsia="Calibri" w:hAnsi="Calibri" w:cs="Arial"/>
                <w:sz w:val="18"/>
                <w:szCs w:val="18"/>
              </w:rPr>
              <w:t xml:space="preserve">The effect of LDLC reduction on CV event risk is greater that what was estimated in the CTTC relationship (30% vs 21%)  </w:t>
            </w:r>
            <w:r w:rsidRPr="00A20A17">
              <w:rPr>
                <w:rFonts w:ascii="Calibri" w:eastAsia="Calibri" w:hAnsi="Calibri" w:cs="Arial"/>
                <w:sz w:val="18"/>
                <w:szCs w:val="18"/>
              </w:rPr>
              <w:fldChar w:fldCharType="begin"/>
            </w:r>
            <w:r w:rsidRPr="00A20A17">
              <w:rPr>
                <w:rFonts w:ascii="Calibri" w:eastAsia="Calibri" w:hAnsi="Calibri" w:cs="Arial"/>
                <w:sz w:val="18"/>
                <w:szCs w:val="18"/>
              </w:rPr>
              <w:instrText xml:space="preserve"> ADDIN EN.CITE &lt;EndNote&gt;&lt;Cite&gt;&lt;Author&gt;Cholesterol&lt;/Author&gt;&lt;Year&gt;2019&lt;/Year&gt;&lt;IDText&gt;Efficacy and safety of statin therapy in older people: a meta-analysis of individual participant data from 28 randomised controlled trials&lt;/IDText&gt;&lt;DisplayText&gt;&lt;style face="superscript"&gt;16&lt;/style&gt;&lt;/DisplayText&gt;&lt;record&gt;&lt;dates&gt;&lt;pub-dates&gt;&lt;date&gt;02&lt;/date&gt;&lt;/pub-dates&gt;&lt;year&gt;2019&lt;/year&gt;&lt;/dates&gt;&lt;keywords&gt;&lt;keyword&gt;Age Factors&lt;/keyword&gt;&lt;keyword&gt;Aged&lt;/keyword&gt;&lt;keyword&gt;Humans&lt;/keyword&gt;&lt;keyword&gt;Hydroxymethylglutaryl-CoA Reductase Inhibitors&lt;/keyword&gt;&lt;keyword&gt;Randomized Controlled Trials as Topic&lt;/keyword&gt;&lt;/keywords&gt;&lt;urls&gt;&lt;related-urls&gt;&lt;url&gt;https://www.ncbi.nlm.nih.gov/pubmed/30712900&lt;/url&gt;&lt;/related-urls&gt;&lt;/urls&gt;&lt;isbn&gt;1474-547X&lt;/isbn&gt;&lt;custom2&gt;PMC6429627&lt;/custom2&gt;&lt;titles&gt;&lt;title&gt;Efficacy and safety of statin therapy in older people: a meta-analysis of individual participant data from 28 randomised controlled trials&lt;/title&gt;&lt;secondary-title&gt;Lancet&lt;/secondary-title&gt;&lt;/titles&gt;&lt;pages&gt;407-415&lt;/pages&gt;&lt;number&gt;10170&lt;/number&gt;&lt;contributors&gt;&lt;authors&gt;&lt;author&gt;Cholesterol Treatment Trialists&amp;apos; Collaboration&lt;/author&gt;&lt;/authors&gt;&lt;/contributors&gt;&lt;language&gt;eng&lt;/language&gt;&lt;added-date format="utc"&gt;1620903413&lt;/added-date&gt;&lt;ref-type name="Journal Article"&gt;17&lt;/ref-type&gt;&lt;rec-number&gt;149&lt;/rec-number&gt;&lt;last-updated-date format="utc"&gt;1620903413&lt;/last-updated-date&gt;&lt;accession-num&gt;30712900&lt;/accession-num&gt;&lt;electronic-resource-num&gt;10.1016/S0140-6736(18)31942-1&lt;/electronic-resource-num&gt;&lt;volume&gt;393&lt;/volume&gt;&lt;/record&gt;&lt;/Cite&gt;&lt;/EndNote&gt;</w:instrText>
            </w:r>
            <w:r w:rsidRPr="00A20A17">
              <w:rPr>
                <w:rFonts w:ascii="Calibri" w:eastAsia="Calibri" w:hAnsi="Calibri" w:cs="Arial"/>
                <w:sz w:val="18"/>
                <w:szCs w:val="18"/>
              </w:rPr>
              <w:fldChar w:fldCharType="separate"/>
            </w:r>
            <w:r w:rsidRPr="00A20A17">
              <w:rPr>
                <w:rFonts w:ascii="Calibri" w:eastAsia="Calibri" w:hAnsi="Calibri" w:cs="Arial"/>
                <w:noProof/>
                <w:sz w:val="18"/>
                <w:szCs w:val="18"/>
                <w:vertAlign w:val="superscript"/>
              </w:rPr>
              <w:t>16</w:t>
            </w:r>
            <w:r w:rsidRPr="00A20A17">
              <w:rPr>
                <w:rFonts w:ascii="Calibri" w:eastAsia="Calibri" w:hAnsi="Calibri" w:cs="Arial"/>
                <w:sz w:val="18"/>
                <w:szCs w:val="18"/>
              </w:rPr>
              <w:fldChar w:fldCharType="end"/>
            </w:r>
            <w:r w:rsidRPr="00A20A17">
              <w:rPr>
                <w:rFonts w:ascii="Calibri" w:eastAsia="Calibri" w:hAnsi="Calibri" w:cs="Arial"/>
                <w:sz w:val="18"/>
                <w:szCs w:val="18"/>
              </w:rPr>
              <w:t>.</w:t>
            </w:r>
          </w:p>
        </w:tc>
        <w:tc>
          <w:tcPr>
            <w:tcW w:w="0" w:type="auto"/>
            <w:shd w:val="clear" w:color="auto" w:fill="auto"/>
          </w:tcPr>
          <w:p w14:paraId="7581794E" w14:textId="77777777" w:rsidR="00FE37DB" w:rsidRPr="00A20A17" w:rsidRDefault="00FE37DB" w:rsidP="00A80B48">
            <w:pPr>
              <w:spacing w:before="60" w:after="60" w:line="240" w:lineRule="auto"/>
              <w:jc w:val="right"/>
              <w:rPr>
                <w:rFonts w:ascii="Calibri" w:eastAsia="Calibri" w:hAnsi="Calibri" w:cs="Arial"/>
                <w:sz w:val="18"/>
                <w:szCs w:val="18"/>
              </w:rPr>
            </w:pPr>
            <w:r w:rsidRPr="00A20A17">
              <w:rPr>
                <w:rFonts w:ascii="Calibri" w:eastAsia="Calibri" w:hAnsi="Calibri" w:cs="Arial"/>
                <w:sz w:val="18"/>
                <w:szCs w:val="18"/>
              </w:rPr>
              <w:t>-5</w:t>
            </w:r>
          </w:p>
        </w:tc>
      </w:tr>
      <w:tr w:rsidR="00FE37DB" w:rsidRPr="00A20A17" w14:paraId="6ABC60B6" w14:textId="77777777" w:rsidTr="00A80B48">
        <w:tc>
          <w:tcPr>
            <w:tcW w:w="0" w:type="auto"/>
            <w:shd w:val="clear" w:color="auto" w:fill="auto"/>
          </w:tcPr>
          <w:p w14:paraId="3C75D978" w14:textId="77777777" w:rsidR="00FE37DB" w:rsidRPr="00A20A17" w:rsidRDefault="00FE37DB" w:rsidP="00A80B48">
            <w:pPr>
              <w:numPr>
                <w:ilvl w:val="0"/>
                <w:numId w:val="9"/>
              </w:numPr>
              <w:spacing w:before="60" w:after="60" w:line="240" w:lineRule="auto"/>
              <w:rPr>
                <w:rFonts w:ascii="Calibri" w:eastAsia="Calibri" w:hAnsi="Calibri" w:cs="Arial"/>
                <w:sz w:val="18"/>
                <w:szCs w:val="18"/>
              </w:rPr>
            </w:pPr>
            <w:r w:rsidRPr="00A20A17">
              <w:rPr>
                <w:rFonts w:ascii="Calibri" w:eastAsia="Calibri" w:hAnsi="Calibri" w:cs="Arial"/>
                <w:sz w:val="18"/>
                <w:szCs w:val="18"/>
              </w:rPr>
              <w:t xml:space="preserve">The CTTC relationship  </w:t>
            </w:r>
            <w:r w:rsidRPr="00A20A17">
              <w:rPr>
                <w:rFonts w:ascii="Calibri" w:eastAsia="Calibri" w:hAnsi="Calibri" w:cs="Arial"/>
                <w:sz w:val="18"/>
                <w:szCs w:val="18"/>
              </w:rPr>
              <w:fldChar w:fldCharType="begin"/>
            </w:r>
            <w:r w:rsidRPr="00A20A17">
              <w:rPr>
                <w:rFonts w:ascii="Calibri" w:eastAsia="Calibri" w:hAnsi="Calibri" w:cs="Arial"/>
                <w:sz w:val="18"/>
                <w:szCs w:val="18"/>
              </w:rPr>
              <w:instrText xml:space="preserve"> ADDIN EN.CITE &lt;EndNote&gt;&lt;Cite&gt;&lt;Author&gt;Cholesterol&lt;/Author&gt;&lt;Year&gt;2019&lt;/Year&gt;&lt;IDText&gt;Efficacy and safety of statin therapy in older people: a meta-analysis of individual participant data from 28 randomised controlled trials&lt;/IDText&gt;&lt;DisplayText&gt;&lt;style face="superscript"&gt;16&lt;/style&gt;&lt;/DisplayText&gt;&lt;record&gt;&lt;dates&gt;&lt;pub-dates&gt;&lt;date&gt;02&lt;/date&gt;&lt;/pub-dates&gt;&lt;year&gt;2019&lt;/year&gt;&lt;/dates&gt;&lt;keywords&gt;&lt;keyword&gt;Age Factors&lt;/keyword&gt;&lt;keyword&gt;Aged&lt;/keyword&gt;&lt;keyword&gt;Humans&lt;/keyword&gt;&lt;keyword&gt;Hydroxymethylglutaryl-CoA Reductase Inhibitors&lt;/keyword&gt;&lt;keyword&gt;Randomized Controlled Trials as Topic&lt;/keyword&gt;&lt;/keywords&gt;&lt;urls&gt;&lt;related-urls&gt;&lt;url&gt;https://www.ncbi.nlm.nih.gov/pubmed/30712900&lt;/url&gt;&lt;/related-urls&gt;&lt;/urls&gt;&lt;isbn&gt;1474-547X&lt;/isbn&gt;&lt;custom2&gt;PMC6429627&lt;/custom2&gt;&lt;titles&gt;&lt;title&gt;Efficacy and safety of statin therapy in older people: a meta-analysis of individual participant data from 28 randomised controlled trials&lt;/title&gt;&lt;secondary-title&gt;Lancet&lt;/secondary-title&gt;&lt;/titles&gt;&lt;pages&gt;407-415&lt;/pages&gt;&lt;number&gt;10170&lt;/number&gt;&lt;contributors&gt;&lt;authors&gt;&lt;author&gt;Cholesterol Treatment Trialists&amp;apos; Collaboration&lt;/author&gt;&lt;/authors&gt;&lt;/contributors&gt;&lt;language&gt;eng&lt;/language&gt;&lt;added-date format="utc"&gt;1620903413&lt;/added-date&gt;&lt;ref-type name="Journal Article"&gt;17&lt;/ref-type&gt;&lt;rec-number&gt;149&lt;/rec-number&gt;&lt;last-updated-date format="utc"&gt;1620903413&lt;/last-updated-date&gt;&lt;accession-num&gt;30712900&lt;/accession-num&gt;&lt;electronic-resource-num&gt;10.1016/S0140-6736(18)31942-1&lt;/electronic-resource-num&gt;&lt;volume&gt;393&lt;/volume&gt;&lt;/record&gt;&lt;/Cite&gt;&lt;/EndNote&gt;</w:instrText>
            </w:r>
            <w:r w:rsidRPr="00A20A17">
              <w:rPr>
                <w:rFonts w:ascii="Calibri" w:eastAsia="Calibri" w:hAnsi="Calibri" w:cs="Arial"/>
                <w:sz w:val="18"/>
                <w:szCs w:val="18"/>
              </w:rPr>
              <w:fldChar w:fldCharType="separate"/>
            </w:r>
            <w:r w:rsidRPr="00A20A17">
              <w:rPr>
                <w:rFonts w:ascii="Calibri" w:eastAsia="Calibri" w:hAnsi="Calibri" w:cs="Arial"/>
                <w:noProof/>
                <w:sz w:val="18"/>
                <w:szCs w:val="18"/>
                <w:vertAlign w:val="superscript"/>
              </w:rPr>
              <w:t>16</w:t>
            </w:r>
            <w:r w:rsidRPr="00A20A17">
              <w:rPr>
                <w:rFonts w:ascii="Calibri" w:eastAsia="Calibri" w:hAnsi="Calibri" w:cs="Arial"/>
                <w:sz w:val="18"/>
                <w:szCs w:val="18"/>
              </w:rPr>
              <w:fldChar w:fldCharType="end"/>
            </w:r>
            <w:r w:rsidRPr="00A20A17">
              <w:rPr>
                <w:rFonts w:ascii="Calibri" w:eastAsia="Calibri" w:hAnsi="Calibri" w:cs="Arial"/>
                <w:sz w:val="18"/>
                <w:szCs w:val="18"/>
              </w:rPr>
              <w:t xml:space="preserve"> holds up to a maximum pre-treatment LDLC of 6 mmol/L and beyond this threshold the effect of greater LDLC reductions the effect is the same.</w:t>
            </w:r>
          </w:p>
        </w:tc>
        <w:tc>
          <w:tcPr>
            <w:tcW w:w="0" w:type="auto"/>
            <w:shd w:val="clear" w:color="auto" w:fill="auto"/>
          </w:tcPr>
          <w:p w14:paraId="1024B18E" w14:textId="77777777" w:rsidR="00FE37DB" w:rsidRPr="00A20A17" w:rsidRDefault="00FE37DB" w:rsidP="00A80B48">
            <w:pPr>
              <w:spacing w:before="60" w:after="60" w:line="240" w:lineRule="auto"/>
              <w:jc w:val="right"/>
              <w:rPr>
                <w:rFonts w:ascii="Calibri" w:eastAsia="Calibri" w:hAnsi="Calibri" w:cs="Arial"/>
                <w:sz w:val="18"/>
                <w:szCs w:val="18"/>
              </w:rPr>
            </w:pPr>
            <w:r w:rsidRPr="00A20A17">
              <w:rPr>
                <w:rFonts w:ascii="Calibri" w:eastAsia="Calibri" w:hAnsi="Calibri" w:cs="Arial"/>
                <w:sz w:val="18"/>
                <w:szCs w:val="18"/>
              </w:rPr>
              <w:t>-15</w:t>
            </w:r>
          </w:p>
        </w:tc>
      </w:tr>
      <w:tr w:rsidR="00FE37DB" w:rsidRPr="00A20A17" w14:paraId="666A369F" w14:textId="77777777" w:rsidTr="00A80B48">
        <w:tc>
          <w:tcPr>
            <w:tcW w:w="0" w:type="auto"/>
          </w:tcPr>
          <w:p w14:paraId="57D714EF" w14:textId="77777777" w:rsidR="00FE37DB" w:rsidRPr="00A20A17" w:rsidRDefault="00FE37DB" w:rsidP="00A80B48">
            <w:pPr>
              <w:numPr>
                <w:ilvl w:val="0"/>
                <w:numId w:val="9"/>
              </w:numPr>
              <w:spacing w:before="60" w:after="60" w:line="240" w:lineRule="auto"/>
              <w:rPr>
                <w:rFonts w:ascii="Calibri" w:eastAsia="Calibri" w:hAnsi="Calibri" w:cs="Arial"/>
                <w:sz w:val="18"/>
                <w:szCs w:val="18"/>
              </w:rPr>
            </w:pPr>
            <w:r w:rsidRPr="00A20A17">
              <w:rPr>
                <w:rFonts w:ascii="Calibri" w:eastAsia="Calibri" w:hAnsi="Calibri" w:cs="Arial"/>
                <w:sz w:val="18"/>
                <w:szCs w:val="18"/>
              </w:rPr>
              <w:t>FH diagnosis reduces the risk of non-CV death (prior to a 1</w:t>
            </w:r>
            <w:r w:rsidRPr="00A20A17">
              <w:rPr>
                <w:rFonts w:ascii="Calibri" w:eastAsia="Calibri" w:hAnsi="Calibri" w:cs="Arial"/>
                <w:sz w:val="18"/>
                <w:szCs w:val="18"/>
                <w:vertAlign w:val="superscript"/>
              </w:rPr>
              <w:t>st</w:t>
            </w:r>
            <w:r w:rsidRPr="00A20A17">
              <w:rPr>
                <w:rFonts w:ascii="Calibri" w:eastAsia="Calibri" w:hAnsi="Calibri" w:cs="Arial"/>
                <w:sz w:val="18"/>
                <w:szCs w:val="18"/>
              </w:rPr>
              <w:t xml:space="preserve"> CV event) by 1% (hazard ratio = 0.99). </w:t>
            </w:r>
          </w:p>
        </w:tc>
        <w:tc>
          <w:tcPr>
            <w:tcW w:w="0" w:type="auto"/>
          </w:tcPr>
          <w:p w14:paraId="714B0776" w14:textId="77777777" w:rsidR="00FE37DB" w:rsidRPr="00A20A17" w:rsidRDefault="00FE37DB" w:rsidP="00A80B48">
            <w:pPr>
              <w:spacing w:before="60" w:after="60" w:line="240" w:lineRule="auto"/>
              <w:jc w:val="right"/>
              <w:rPr>
                <w:rFonts w:ascii="Calibri" w:eastAsia="Calibri" w:hAnsi="Calibri" w:cs="Arial"/>
                <w:sz w:val="18"/>
                <w:szCs w:val="18"/>
              </w:rPr>
            </w:pPr>
            <w:r w:rsidRPr="00A20A17">
              <w:rPr>
                <w:rFonts w:ascii="Calibri" w:eastAsia="Calibri" w:hAnsi="Calibri" w:cs="Arial"/>
                <w:sz w:val="18"/>
                <w:szCs w:val="18"/>
              </w:rPr>
              <w:t>2</w:t>
            </w:r>
          </w:p>
        </w:tc>
      </w:tr>
      <w:tr w:rsidR="00FE37DB" w:rsidRPr="00A20A17" w14:paraId="5F046E83" w14:textId="77777777" w:rsidTr="00A80B48">
        <w:tc>
          <w:tcPr>
            <w:tcW w:w="0" w:type="auto"/>
          </w:tcPr>
          <w:p w14:paraId="13BE5C3D" w14:textId="77777777" w:rsidR="00FE37DB" w:rsidRPr="00A20A17" w:rsidRDefault="00FE37DB" w:rsidP="00A80B48">
            <w:pPr>
              <w:numPr>
                <w:ilvl w:val="0"/>
                <w:numId w:val="9"/>
              </w:numPr>
              <w:spacing w:before="60" w:after="60" w:line="240" w:lineRule="auto"/>
              <w:rPr>
                <w:rFonts w:ascii="Calibri" w:eastAsia="Calibri" w:hAnsi="Calibri" w:cs="Arial"/>
                <w:sz w:val="18"/>
                <w:szCs w:val="18"/>
              </w:rPr>
            </w:pPr>
            <w:r w:rsidRPr="00A20A17">
              <w:rPr>
                <w:rFonts w:ascii="Calibri" w:eastAsia="Calibri" w:hAnsi="Calibri" w:cs="Arial"/>
                <w:sz w:val="18"/>
                <w:szCs w:val="18"/>
              </w:rPr>
              <w:t>Individuals who are diagnosed with FH are treated with LLT from 18 years of age.</w:t>
            </w:r>
          </w:p>
        </w:tc>
        <w:tc>
          <w:tcPr>
            <w:tcW w:w="0" w:type="auto"/>
          </w:tcPr>
          <w:p w14:paraId="08E547E9" w14:textId="77777777" w:rsidR="00FE37DB" w:rsidRPr="00A20A17" w:rsidRDefault="00FE37DB" w:rsidP="00A80B48">
            <w:pPr>
              <w:spacing w:before="60" w:after="60" w:line="240" w:lineRule="auto"/>
              <w:jc w:val="right"/>
              <w:rPr>
                <w:rFonts w:ascii="Calibri" w:eastAsia="Calibri" w:hAnsi="Calibri" w:cs="Arial"/>
                <w:sz w:val="18"/>
                <w:szCs w:val="18"/>
              </w:rPr>
            </w:pPr>
            <w:r w:rsidRPr="00A20A17">
              <w:rPr>
                <w:rFonts w:ascii="Calibri" w:eastAsia="Calibri" w:hAnsi="Calibri" w:cs="Arial"/>
                <w:sz w:val="18"/>
                <w:szCs w:val="18"/>
              </w:rPr>
              <w:t>0</w:t>
            </w:r>
          </w:p>
        </w:tc>
      </w:tr>
      <w:tr w:rsidR="00FE37DB" w:rsidRPr="00A20A17" w14:paraId="29670FCE" w14:textId="77777777" w:rsidTr="00A80B48">
        <w:tc>
          <w:tcPr>
            <w:tcW w:w="0" w:type="auto"/>
          </w:tcPr>
          <w:p w14:paraId="4810929F" w14:textId="77777777" w:rsidR="00FE37DB" w:rsidRPr="00A20A17" w:rsidRDefault="00FE37DB" w:rsidP="00A80B48">
            <w:pPr>
              <w:numPr>
                <w:ilvl w:val="0"/>
                <w:numId w:val="9"/>
              </w:numPr>
              <w:spacing w:before="60" w:after="60" w:line="240" w:lineRule="auto"/>
              <w:rPr>
                <w:rFonts w:ascii="Calibri" w:eastAsia="Calibri" w:hAnsi="Calibri" w:cs="Arial"/>
                <w:sz w:val="18"/>
                <w:szCs w:val="18"/>
              </w:rPr>
            </w:pPr>
            <w:r w:rsidRPr="00A20A17">
              <w:rPr>
                <w:rFonts w:ascii="Calibri" w:eastAsia="Calibri" w:hAnsi="Calibri" w:cs="Arial"/>
                <w:sz w:val="18"/>
                <w:szCs w:val="18"/>
              </w:rPr>
              <w:t xml:space="preserve">Prior FH diagnosis and treatment reduces LDLC after the first non-fatal CV event by 50%, in line with the NICE CG181 </w:t>
            </w:r>
            <w:r w:rsidRPr="00A20A17">
              <w:rPr>
                <w:rFonts w:ascii="Calibri" w:eastAsia="Calibri" w:hAnsi="Calibri" w:cs="Arial"/>
                <w:sz w:val="18"/>
                <w:szCs w:val="18"/>
              </w:rPr>
              <w:fldChar w:fldCharType="begin"/>
            </w:r>
            <w:r w:rsidRPr="00A20A17">
              <w:rPr>
                <w:rFonts w:ascii="Calibri" w:eastAsia="Calibri" w:hAnsi="Calibri" w:cs="Arial"/>
                <w:sz w:val="18"/>
                <w:szCs w:val="18"/>
              </w:rPr>
              <w:instrText xml:space="preserve"> ADDIN EN.CITE &lt;EndNote&gt;&lt;Cite&gt;&lt;Author&gt;NICE&lt;/Author&gt;&lt;Year&gt;2014&lt;/Year&gt;&lt;IDText&gt;Clinical guideline 181. Lipid modification: cardiovascular risk assessment and the modification of blood lipids for the primary and secondary prevention of cardiovascular disease&lt;/IDText&gt;&lt;DisplayText&gt;&lt;style face="superscript"&gt;12&lt;/style&gt;&lt;/DisplayText&gt;&lt;record&gt;&lt;titles&gt;&lt;title&gt;Clinical guideline 181. Lipid modification: cardiovascular risk assessment and the modification of blood lipids for the primary and secondary prevention of cardiovascular disease&lt;/title&gt;&lt;short-title&gt;Clinical guideline 181. Lipid modification: cardiovascular risk assessment and the modification of blood lipids for the primary and secondary prevention of cardiovascular disease&lt;/short-title&gt;&lt;/titles&gt;&lt;contributors&gt;&lt;authors&gt;&lt;author&gt;NICE&lt;/author&gt;&lt;/authors&gt;&lt;/contributors&gt;&lt;added-date format="utc"&gt;1603453281&lt;/added-date&gt;&lt;ref-type name="Report"&gt;27&lt;/ref-type&gt;&lt;dates&gt;&lt;year&gt;2014&lt;/year&gt;&lt;/dates&gt;&lt;rec-number&gt;62&lt;/rec-number&gt;&lt;last-updated-date format="utc"&gt;1603453281&lt;/last-updated-date&gt;&lt;/record&gt;&lt;/Cite&gt;&lt;/EndNote&gt;</w:instrText>
            </w:r>
            <w:r w:rsidRPr="00A20A17">
              <w:rPr>
                <w:rFonts w:ascii="Calibri" w:eastAsia="Calibri" w:hAnsi="Calibri" w:cs="Arial"/>
                <w:sz w:val="18"/>
                <w:szCs w:val="18"/>
              </w:rPr>
              <w:fldChar w:fldCharType="separate"/>
            </w:r>
            <w:r w:rsidRPr="00A20A17">
              <w:rPr>
                <w:rFonts w:ascii="Calibri" w:eastAsia="Calibri" w:hAnsi="Calibri" w:cs="Arial"/>
                <w:noProof/>
                <w:sz w:val="18"/>
                <w:szCs w:val="18"/>
                <w:vertAlign w:val="superscript"/>
              </w:rPr>
              <w:t>12</w:t>
            </w:r>
            <w:r w:rsidRPr="00A20A17">
              <w:rPr>
                <w:rFonts w:ascii="Calibri" w:eastAsia="Calibri" w:hAnsi="Calibri" w:cs="Arial"/>
                <w:sz w:val="18"/>
                <w:szCs w:val="18"/>
              </w:rPr>
              <w:fldChar w:fldCharType="end"/>
            </w:r>
            <w:r w:rsidRPr="00A20A17">
              <w:rPr>
                <w:rFonts w:ascii="Calibri" w:eastAsia="Calibri" w:hAnsi="Calibri" w:cs="Arial"/>
                <w:sz w:val="18"/>
                <w:szCs w:val="18"/>
              </w:rPr>
              <w:t>, while individuals who did not have a prior diagnosis have the base-case risk of death (calculated from the Lewsey equations).</w:t>
            </w:r>
          </w:p>
        </w:tc>
        <w:tc>
          <w:tcPr>
            <w:tcW w:w="0" w:type="auto"/>
          </w:tcPr>
          <w:p w14:paraId="3ED5C158" w14:textId="77777777" w:rsidR="00FE37DB" w:rsidRPr="00A20A17" w:rsidRDefault="00FE37DB" w:rsidP="00A80B48">
            <w:pPr>
              <w:spacing w:before="60" w:after="60" w:line="240" w:lineRule="auto"/>
              <w:jc w:val="right"/>
              <w:rPr>
                <w:rFonts w:ascii="Calibri" w:eastAsia="Calibri" w:hAnsi="Calibri" w:cs="Arial"/>
                <w:sz w:val="18"/>
                <w:szCs w:val="18"/>
              </w:rPr>
            </w:pPr>
            <w:r w:rsidRPr="00A20A17">
              <w:rPr>
                <w:rFonts w:ascii="Calibri" w:eastAsia="Calibri" w:hAnsi="Calibri" w:cs="Arial"/>
                <w:sz w:val="18"/>
                <w:szCs w:val="18"/>
              </w:rPr>
              <w:t>2</w:t>
            </w:r>
          </w:p>
        </w:tc>
      </w:tr>
      <w:tr w:rsidR="00FE37DB" w:rsidRPr="00A20A17" w14:paraId="779B878A" w14:textId="77777777" w:rsidTr="00A80B48">
        <w:tc>
          <w:tcPr>
            <w:tcW w:w="0" w:type="auto"/>
          </w:tcPr>
          <w:p w14:paraId="71D62C92" w14:textId="77777777" w:rsidR="00FE37DB" w:rsidRPr="00A20A17" w:rsidRDefault="00FE37DB" w:rsidP="00A80B48">
            <w:pPr>
              <w:numPr>
                <w:ilvl w:val="0"/>
                <w:numId w:val="9"/>
              </w:numPr>
              <w:spacing w:before="60" w:after="60" w:line="240" w:lineRule="auto"/>
              <w:rPr>
                <w:rFonts w:ascii="Calibri" w:eastAsia="Calibri" w:hAnsi="Calibri" w:cs="Arial"/>
                <w:sz w:val="18"/>
                <w:szCs w:val="18"/>
              </w:rPr>
            </w:pPr>
            <w:r w:rsidRPr="00A20A17">
              <w:rPr>
                <w:rFonts w:ascii="Calibri" w:eastAsia="Calibri" w:hAnsi="Calibri" w:cs="Arial"/>
                <w:sz w:val="18"/>
                <w:szCs w:val="18"/>
              </w:rPr>
              <w:t xml:space="preserve">Prior FH diagnosis and treatment reduces LDLC after the first non-fatal CV event to the EAS target of 1.4 mmol/L. </w:t>
            </w:r>
            <w:r w:rsidRPr="00A20A17">
              <w:rPr>
                <w:rFonts w:ascii="Calibri" w:eastAsia="Calibri" w:hAnsi="Calibri" w:cs="Arial"/>
                <w:sz w:val="18"/>
                <w:szCs w:val="18"/>
              </w:rPr>
              <w:fldChar w:fldCharType="begin">
                <w:fldData xml:space="preserve">PEVuZE5vdGU+PENpdGU+PEF1dGhvcj5NYWNoPC9BdXRob3I+PFllYXI+MjAxOTwvWWVhcj48SURU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</w:fldData>
              </w:fldChar>
            </w:r>
            <w:r w:rsidRPr="00A20A17">
              <w:rPr>
                <w:rFonts w:ascii="Calibri" w:eastAsia="Calibri" w:hAnsi="Calibri" w:cs="Arial"/>
                <w:sz w:val="18"/>
                <w:szCs w:val="18"/>
              </w:rPr>
              <w:instrText xml:space="preserve"> ADDIN EN.CITE </w:instrText>
            </w:r>
            <w:r w:rsidRPr="00A20A17">
              <w:rPr>
                <w:rFonts w:ascii="Calibri" w:eastAsia="Calibri" w:hAnsi="Calibri" w:cs="Arial"/>
                <w:sz w:val="18"/>
                <w:szCs w:val="18"/>
              </w:rPr>
              <w:fldChar w:fldCharType="begin">
                <w:fldData xml:space="preserve">PEVuZE5vdGU+PENpdGU+PEF1dGhvcj5NYWNoPC9BdXRob3I+PFllYXI+MjAxOTwvWWVhcj48SURU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</w:fldData>
              </w:fldChar>
            </w:r>
            <w:r w:rsidRPr="00A20A17">
              <w:rPr>
                <w:rFonts w:ascii="Calibri" w:eastAsia="Calibri" w:hAnsi="Calibri" w:cs="Arial"/>
                <w:sz w:val="18"/>
                <w:szCs w:val="18"/>
              </w:rPr>
              <w:instrText xml:space="preserve"> ADDIN EN.CITE.DATA </w:instrText>
            </w:r>
            <w:r w:rsidRPr="00A20A17">
              <w:rPr>
                <w:rFonts w:ascii="Calibri" w:eastAsia="Calibri" w:hAnsi="Calibri" w:cs="Arial"/>
                <w:sz w:val="18"/>
                <w:szCs w:val="18"/>
              </w:rPr>
            </w:r>
            <w:r w:rsidRPr="00A20A17">
              <w:rPr>
                <w:rFonts w:ascii="Calibri" w:eastAsia="Calibri" w:hAnsi="Calibri" w:cs="Arial"/>
                <w:sz w:val="18"/>
                <w:szCs w:val="18"/>
              </w:rPr>
              <w:fldChar w:fldCharType="end"/>
            </w:r>
            <w:r w:rsidRPr="00A20A17">
              <w:rPr>
                <w:rFonts w:ascii="Calibri" w:eastAsia="Calibri" w:hAnsi="Calibri" w:cs="Arial"/>
                <w:sz w:val="18"/>
                <w:szCs w:val="18"/>
              </w:rPr>
            </w:r>
            <w:r w:rsidRPr="00A20A17">
              <w:rPr>
                <w:rFonts w:ascii="Calibri" w:eastAsia="Calibri" w:hAnsi="Calibri" w:cs="Arial"/>
                <w:sz w:val="18"/>
                <w:szCs w:val="18"/>
              </w:rPr>
              <w:fldChar w:fldCharType="separate"/>
            </w:r>
            <w:r w:rsidRPr="00A20A17">
              <w:rPr>
                <w:rFonts w:ascii="Calibri" w:eastAsia="Calibri" w:hAnsi="Calibri" w:cs="Arial"/>
                <w:noProof/>
                <w:sz w:val="18"/>
                <w:szCs w:val="18"/>
                <w:vertAlign w:val="superscript"/>
              </w:rPr>
              <w:t>23</w:t>
            </w:r>
            <w:r w:rsidRPr="00A20A17">
              <w:rPr>
                <w:rFonts w:ascii="Calibri" w:eastAsia="Calibri" w:hAnsi="Calibri" w:cs="Arial"/>
                <w:sz w:val="18"/>
                <w:szCs w:val="18"/>
              </w:rPr>
              <w:fldChar w:fldCharType="end"/>
            </w:r>
            <w:r w:rsidRPr="00A20A17">
              <w:rPr>
                <w:rFonts w:ascii="Calibri" w:eastAsia="Calibri" w:hAnsi="Calibri" w:cs="Arial"/>
                <w:sz w:val="18"/>
                <w:szCs w:val="18"/>
              </w:rPr>
              <w:t>, while individuals who did not have a prior diagnosis have the base-case risk of death (calculated from the Lewsey equations).</w:t>
            </w:r>
          </w:p>
        </w:tc>
        <w:tc>
          <w:tcPr>
            <w:tcW w:w="0" w:type="auto"/>
          </w:tcPr>
          <w:p w14:paraId="4078DBF8" w14:textId="77777777" w:rsidR="00FE37DB" w:rsidRPr="00A20A17" w:rsidRDefault="00FE37DB" w:rsidP="00A80B48">
            <w:pPr>
              <w:spacing w:before="60" w:after="60" w:line="240" w:lineRule="auto"/>
              <w:jc w:val="right"/>
              <w:rPr>
                <w:rFonts w:ascii="Calibri" w:eastAsia="Calibri" w:hAnsi="Calibri" w:cs="Arial"/>
                <w:sz w:val="18"/>
                <w:szCs w:val="18"/>
              </w:rPr>
            </w:pPr>
            <w:r w:rsidRPr="00A20A17">
              <w:rPr>
                <w:rFonts w:ascii="Calibri" w:eastAsia="Calibri" w:hAnsi="Calibri" w:cs="Arial"/>
                <w:sz w:val="18"/>
                <w:szCs w:val="18"/>
              </w:rPr>
              <w:t>0</w:t>
            </w:r>
          </w:p>
        </w:tc>
      </w:tr>
      <w:tr w:rsidR="00FE37DB" w:rsidRPr="00A20A17" w14:paraId="10B4F331" w14:textId="77777777" w:rsidTr="00A80B48">
        <w:tc>
          <w:tcPr>
            <w:tcW w:w="0" w:type="auto"/>
          </w:tcPr>
          <w:p w14:paraId="24ABC028" w14:textId="77777777" w:rsidR="00FE37DB" w:rsidRPr="00A20A17" w:rsidRDefault="00FE37DB" w:rsidP="00A80B48">
            <w:pPr>
              <w:numPr>
                <w:ilvl w:val="0"/>
                <w:numId w:val="9"/>
              </w:numPr>
              <w:spacing w:before="60" w:after="60" w:line="240" w:lineRule="auto"/>
              <w:rPr>
                <w:rFonts w:ascii="Calibri" w:eastAsia="Calibri" w:hAnsi="Calibri" w:cs="Arial"/>
                <w:sz w:val="18"/>
                <w:szCs w:val="18"/>
              </w:rPr>
            </w:pPr>
            <w:r w:rsidRPr="00A20A17">
              <w:rPr>
                <w:rFonts w:ascii="Calibri" w:eastAsia="Calibri" w:hAnsi="Calibri" w:cs="Arial"/>
                <w:sz w:val="18"/>
                <w:szCs w:val="18"/>
              </w:rPr>
              <w:t xml:space="preserve">In addition to causing earlier onset of cases of diabetes type 2, statins cause additional cases of diabetes, with implications for costs and quality-adjusted life expectancy as per the scenario in the cost-effectiveness analysis informing NICE CG181 </w:t>
            </w:r>
            <w:r w:rsidRPr="00A20A17">
              <w:rPr>
                <w:rFonts w:ascii="Calibri" w:eastAsia="Calibri" w:hAnsi="Calibri" w:cs="Arial"/>
                <w:sz w:val="18"/>
                <w:szCs w:val="18"/>
              </w:rPr>
              <w:fldChar w:fldCharType="begin"/>
            </w:r>
            <w:r w:rsidRPr="00A20A17">
              <w:rPr>
                <w:rFonts w:ascii="Calibri" w:eastAsia="Calibri" w:hAnsi="Calibri" w:cs="Arial"/>
                <w:sz w:val="18"/>
                <w:szCs w:val="18"/>
              </w:rPr>
              <w:instrText xml:space="preserve"> ADDIN EN.CITE &lt;EndNote&gt;&lt;Cite&gt;&lt;Author&gt;NICE&lt;/Author&gt;&lt;Year&gt;2014&lt;/Year&gt;&lt;IDText&gt;Clinical guideline 181. Lipid modification: cardiovascular risk assessment and the modification of blood lipids for the primary and secondary prevention of cardiovascular disease&lt;/IDText&gt;&lt;DisplayText&gt;&lt;style face="superscript"&gt;12&lt;/style&gt;&lt;/DisplayText&gt;&lt;record&gt;&lt;titles&gt;&lt;title&gt;Clinical guideline 181. Lipid modification: cardiovascular risk assessment and the modification of blood lipids for the primary and secondary prevention of cardiovascular disease&lt;/title&gt;&lt;short-title&gt;Clinical guideline 181. Lipid modification: cardiovascular risk assessment and the modification of blood lipids for the primary and secondary prevention of cardiovascular disease&lt;/short-title&gt;&lt;/titles&gt;&lt;contributors&gt;&lt;authors&gt;&lt;author&gt;NICE&lt;/author&gt;&lt;/authors&gt;&lt;/contributors&gt;&lt;added-date format="utc"&gt;1603453281&lt;/added-date&gt;&lt;ref-type name="Report"&gt;27&lt;/ref-type&gt;&lt;dates&gt;&lt;year&gt;2014&lt;/year&gt;&lt;/dates&gt;&lt;rec-number&gt;62&lt;/rec-number&gt;&lt;last-updated-date format="utc"&gt;1603453281&lt;/last-updated-date&gt;&lt;/record&gt;&lt;/Cite&gt;&lt;/EndNote&gt;</w:instrText>
            </w:r>
            <w:r w:rsidRPr="00A20A17">
              <w:rPr>
                <w:rFonts w:ascii="Calibri" w:eastAsia="Calibri" w:hAnsi="Calibri" w:cs="Arial"/>
                <w:sz w:val="18"/>
                <w:szCs w:val="18"/>
              </w:rPr>
              <w:fldChar w:fldCharType="separate"/>
            </w:r>
            <w:r w:rsidRPr="00A20A17">
              <w:rPr>
                <w:rFonts w:ascii="Calibri" w:eastAsia="Calibri" w:hAnsi="Calibri" w:cs="Arial"/>
                <w:noProof/>
                <w:sz w:val="18"/>
                <w:szCs w:val="18"/>
                <w:vertAlign w:val="superscript"/>
              </w:rPr>
              <w:t>12</w:t>
            </w:r>
            <w:r w:rsidRPr="00A20A17">
              <w:rPr>
                <w:rFonts w:ascii="Calibri" w:eastAsia="Calibri" w:hAnsi="Calibri" w:cs="Arial"/>
                <w:sz w:val="18"/>
                <w:szCs w:val="18"/>
              </w:rPr>
              <w:fldChar w:fldCharType="end"/>
            </w:r>
            <w:r w:rsidRPr="00A20A17">
              <w:rPr>
                <w:rFonts w:ascii="Calibri" w:eastAsia="Calibri" w:hAnsi="Calibri" w:cs="Arial"/>
                <w:sz w:val="18"/>
                <w:szCs w:val="18"/>
              </w:rPr>
              <w:t xml:space="preserve">,  updated to 2019 </w:t>
            </w:r>
            <w:r w:rsidRPr="00A20A17">
              <w:rPr>
                <w:rFonts w:ascii="Calibri" w:eastAsia="Calibri" w:hAnsi="Calibri" w:cs="Arial"/>
                <w:sz w:val="18"/>
                <w:szCs w:val="18"/>
              </w:rPr>
              <w:fldChar w:fldCharType="begin"/>
            </w:r>
            <w:r w:rsidRPr="00A20A17">
              <w:rPr>
                <w:rFonts w:ascii="Calibri" w:eastAsia="Calibri" w:hAnsi="Calibri" w:cs="Arial"/>
                <w:sz w:val="18"/>
                <w:szCs w:val="18"/>
              </w:rPr>
              <w:instrText xml:space="preserve"> ADDIN EN.CITE &lt;EndNote&gt;&lt;Cite&gt;&lt;Author&gt;NHS England and NHS Improvement&lt;/Author&gt;&lt;Year&gt;2020&lt;/Year&gt;&lt;IDText&gt;National schedule of NHS costs 2019&lt;/IDText&gt;&lt;DisplayText&gt;&lt;style face="superscript"&gt;20,21&lt;/style&gt;&lt;/DisplayText&gt;&lt;record&gt;&lt;urls&gt;&lt;related-urls&gt;&lt;url&gt;https://www.england.nhs.uk/wp-content/uploads/2020/08/2_-_National_schedule_of_NHS_costs_V2.xlsx&lt;/url&gt;&lt;/related-urls&gt;&lt;/urls&gt;&lt;titles&gt;&lt;title&gt;National schedule of NHS costs 2019&lt;/title&gt;&lt;/titles&gt;&lt;access-date&gt;24/05/2021&lt;/access-date&gt;&lt;contributors&gt;&lt;authors&gt;&lt;author&gt;NHS England and NHS Improvement,&lt;/author&gt;&lt;/authors&gt;&lt;/contributors&gt;&lt;added-date format="utc"&gt;1621867475&lt;/added-date&gt;&lt;ref-type name="Dataset"&gt;59&lt;/ref-type&gt;&lt;dates&gt;&lt;year&gt;2020&lt;/year&gt;&lt;/dates&gt;&lt;rec-number&gt;194&lt;/rec-number&gt;&lt;last-updated-date format="utc"&gt;1621867475&lt;/last-updated-date&gt;&lt;/record&gt;&lt;/Cite&gt;&lt;Cite&gt;&lt;Author&gt;Curtis&lt;/Author&gt;&lt;Year&gt;2019&lt;/Year&gt;&lt;IDText&gt;Unit Costs of Health and Social Care 2019&lt;/IDText&gt;&lt;record&gt;&lt;titles&gt;&lt;title&gt;Unit Costs of Health and Social Care 2019&lt;/title&gt;&lt;/titles&gt;&lt;contributors&gt;&lt;authors&gt;&lt;author&gt;Curtis, L.&lt;/author&gt;&lt;author&gt;Burns, A.&lt;/author&gt;&lt;/authors&gt;&lt;/contributors&gt;&lt;added-date format="utc"&gt;1621867475&lt;/added-date&gt;&lt;pub-location&gt;Canterbury&lt;/pub-location&gt;&lt;ref-type name="Book"&gt;6&lt;/ref-type&gt;&lt;dates&gt;&lt;year&gt;2019&lt;/year&gt;&lt;/dates&gt;&lt;rec-number&gt;192&lt;/rec-number&gt;&lt;publisher&gt;Personal Social Services Research Unit, University of Kent&lt;/publisher&gt;&lt;last-updated-date format="utc"&gt;1621867475&lt;/last-updated-date&gt;&lt;electronic-resource-num&gt;10.22024/UniKent/01.02.79286&lt;/electronic-resource-num&gt;&lt;/record&gt;&lt;/Cite&gt;&lt;/EndNote&gt;</w:instrText>
            </w:r>
            <w:r w:rsidRPr="00A20A17">
              <w:rPr>
                <w:rFonts w:ascii="Calibri" w:eastAsia="Calibri" w:hAnsi="Calibri" w:cs="Arial"/>
                <w:sz w:val="18"/>
                <w:szCs w:val="18"/>
              </w:rPr>
              <w:fldChar w:fldCharType="separate"/>
            </w:r>
            <w:r w:rsidRPr="00A20A17">
              <w:rPr>
                <w:rFonts w:ascii="Calibri" w:eastAsia="Calibri" w:hAnsi="Calibri" w:cs="Arial"/>
                <w:noProof/>
                <w:sz w:val="18"/>
                <w:szCs w:val="18"/>
                <w:vertAlign w:val="superscript"/>
              </w:rPr>
              <w:t>20,21</w:t>
            </w:r>
            <w:r w:rsidRPr="00A20A17">
              <w:rPr>
                <w:rFonts w:ascii="Calibri" w:eastAsia="Calibri" w:hAnsi="Calibri" w:cs="Arial"/>
                <w:sz w:val="18"/>
                <w:szCs w:val="18"/>
              </w:rPr>
              <w:fldChar w:fldCharType="end"/>
            </w:r>
            <w:r w:rsidRPr="00A20A17">
              <w:rPr>
                <w:rFonts w:ascii="Calibri" w:eastAsia="Calibri" w:hAnsi="Calibri" w:cs="Arial"/>
                <w:sz w:val="18"/>
                <w:szCs w:val="18"/>
              </w:rPr>
              <w:t>.</w:t>
            </w:r>
          </w:p>
        </w:tc>
        <w:tc>
          <w:tcPr>
            <w:tcW w:w="0" w:type="auto"/>
          </w:tcPr>
          <w:p w14:paraId="6BF77E4B" w14:textId="77777777" w:rsidR="00FE37DB" w:rsidRPr="00A20A17" w:rsidRDefault="00FE37DB" w:rsidP="00A80B48">
            <w:pPr>
              <w:spacing w:before="60" w:after="60" w:line="240" w:lineRule="auto"/>
              <w:jc w:val="right"/>
              <w:rPr>
                <w:rFonts w:ascii="Calibri" w:eastAsia="Calibri" w:hAnsi="Calibri" w:cs="Arial"/>
                <w:sz w:val="18"/>
                <w:szCs w:val="18"/>
              </w:rPr>
            </w:pPr>
            <w:r w:rsidRPr="00A20A17">
              <w:rPr>
                <w:rFonts w:ascii="Calibri" w:eastAsia="Calibri" w:hAnsi="Calibri" w:cs="Arial"/>
                <w:sz w:val="18"/>
                <w:szCs w:val="18"/>
              </w:rPr>
              <w:t>0</w:t>
            </w:r>
          </w:p>
        </w:tc>
      </w:tr>
      <w:tr w:rsidR="00FE37DB" w:rsidRPr="00A20A17" w14:paraId="6FA326A2" w14:textId="77777777" w:rsidTr="00A80B48">
        <w:tc>
          <w:tcPr>
            <w:tcW w:w="0" w:type="auto"/>
            <w:gridSpan w:val="2"/>
            <w:shd w:val="clear" w:color="auto" w:fill="E7E6E6"/>
          </w:tcPr>
          <w:p w14:paraId="08E260AB"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Scenarios on CV risk</w:t>
            </w:r>
          </w:p>
        </w:tc>
      </w:tr>
      <w:tr w:rsidR="00FE37DB" w:rsidRPr="00A20A17" w14:paraId="7D387261" w14:textId="77777777" w:rsidTr="00A80B48">
        <w:tc>
          <w:tcPr>
            <w:tcW w:w="0" w:type="auto"/>
          </w:tcPr>
          <w:p w14:paraId="610DFCA0" w14:textId="77777777" w:rsidR="00FE37DB" w:rsidRPr="00A20A17" w:rsidRDefault="00FE37DB" w:rsidP="00A80B48">
            <w:pPr>
              <w:numPr>
                <w:ilvl w:val="0"/>
                <w:numId w:val="9"/>
              </w:numPr>
              <w:spacing w:before="60" w:after="60" w:line="240" w:lineRule="auto"/>
              <w:rPr>
                <w:rFonts w:ascii="Calibri" w:eastAsia="Calibri" w:hAnsi="Calibri" w:cs="Arial"/>
                <w:sz w:val="18"/>
                <w:szCs w:val="18"/>
              </w:rPr>
            </w:pPr>
            <w:r w:rsidRPr="00A20A17">
              <w:rPr>
                <w:rFonts w:ascii="Calibri" w:eastAsia="Calibri" w:hAnsi="Calibri" w:cs="Arial"/>
                <w:sz w:val="18"/>
                <w:szCs w:val="18"/>
              </w:rPr>
              <w:t xml:space="preserve">Individuals are at risk of CV events from age 35, as per Perak et al </w:t>
            </w:r>
            <w:r w:rsidRPr="00A20A17">
              <w:rPr>
                <w:rFonts w:ascii="Calibri" w:eastAsia="Calibri" w:hAnsi="Calibri" w:cs="Arial"/>
                <w:sz w:val="18"/>
                <w:szCs w:val="18"/>
              </w:rPr>
              <w:fldChar w:fldCharType="begin"/>
            </w:r>
            <w:r w:rsidRPr="00A20A17">
              <w:rPr>
                <w:rFonts w:ascii="Calibri" w:eastAsia="Calibri" w:hAnsi="Calibri" w:cs="Arial"/>
                <w:sz w:val="18"/>
                <w:szCs w:val="18"/>
              </w:rPr>
              <w:instrText xml:space="preserve"> ADDIN EN.CITE &lt;EndNote&gt;&lt;Cite&gt;&lt;Author&gt;Perak&lt;/Author&gt;&lt;Year&gt;2016&lt;/Year&gt;&lt;IDText&gt;Long-Term Risk of Atherosclerotic Cardiovascular Disease in US Adults With the Familial Hypercholesterolemia Phenotype&lt;/IDText&gt;&lt;DisplayText&gt;&lt;style face="superscript"&gt;15&lt;/style&gt;&lt;/DisplayText&gt;&lt;record&gt;&lt;dates&gt;&lt;pub-dates&gt;&lt;date&gt;Jul&lt;/date&gt;&lt;/pub-dates&gt;&lt;year&gt;2016&lt;/year&gt;&lt;/dates&gt;&lt;keywords&gt;&lt;keyword&gt;Adult&lt;/keyword&gt;&lt;keyword&gt;Aged&lt;/keyword&gt;&lt;keyword&gt;Atherosclerosis&lt;/keyword&gt;&lt;keyword&gt;Cholesterol, LDL&lt;/keyword&gt;&lt;keyword&gt;Cohort Studies&lt;/keyword&gt;&lt;keyword&gt;Female&lt;/keyword&gt;&lt;keyword&gt;Genotype&lt;/keyword&gt;&lt;keyword&gt;Humans&lt;/keyword&gt;&lt;keyword&gt;Hyperlipoproteinemia Type II&lt;/keyword&gt;&lt;keyword&gt;Lipids&lt;/keyword&gt;&lt;keyword&gt;Male&lt;/keyword&gt;&lt;keyword&gt;Middle Aged&lt;/keyword&gt;&lt;keyword&gt;Phenotype&lt;/keyword&gt;&lt;keyword&gt;Prevalence&lt;/keyword&gt;&lt;keyword&gt;Proportional Hazards Models&lt;/keyword&gt;&lt;keyword&gt;Risk&lt;/keyword&gt;&lt;keyword&gt;United States&lt;/keyword&gt;&lt;keyword&gt;Young Adult&lt;/keyword&gt;&lt;keyword&gt;coronary disease&lt;/keyword&gt;&lt;keyword&gt;epidemiology&lt;/keyword&gt;&lt;keyword&gt;hypercholesterolemia&lt;/keyword&gt;&lt;/keywords&gt;&lt;urls&gt;&lt;related-urls&gt;&lt;url&gt;https://www.ncbi.nlm.nih.gov/pubmed/27358432&lt;/url&gt;&lt;/related-urls&gt;&lt;/urls&gt;&lt;isbn&gt;1524-4539&lt;/isbn&gt;&lt;custom2&gt;PMC4933328&lt;/custom2&gt;&lt;titles&gt;&lt;title&gt;Long-Term Risk of Atherosclerotic Cardiovascular Disease in US Adults With the Familial Hypercholesterolemia Phenotype&lt;/title&gt;&lt;secondary-title&gt;Circulation&lt;/secondary-title&gt;&lt;/titles&gt;&lt;pages&gt;9-19&lt;/pages&gt;&lt;number&gt;1&lt;/number&gt;&lt;contributors&gt;&lt;authors&gt;&lt;author&gt;Perak, A. M.&lt;/author&gt;&lt;author&gt;Ning, H.&lt;/author&gt;&lt;author&gt;de Ferranti, S. D.&lt;/author&gt;&lt;author&gt;Gooding, H. C.&lt;/author&gt;&lt;author&gt;Wilkins, J. T.&lt;/author&gt;&lt;author&gt;Lloyd-Jones, D. M.&lt;/author&gt;&lt;/authors&gt;&lt;/contributors&gt;&lt;language&gt;eng&lt;/language&gt;&lt;added-date format="utc"&gt;1620658713&lt;/added-date&gt;&lt;ref-type name="Journal Article"&gt;17&lt;/ref-type&gt;&lt;rec-number&gt;141&lt;/rec-number&gt;&lt;last-updated-date format="utc"&gt;1620658713&lt;/last-updated-date&gt;&lt;accession-num&gt;27358432&lt;/accession-num&gt;&lt;electronic-resource-num&gt;10.1161/CIRCULATIONAHA.116.022335&lt;/electronic-resource-num&gt;&lt;volume&gt;134&lt;/volume&gt;&lt;/record&gt;&lt;/Cite&gt;&lt;/EndNote&gt;</w:instrText>
            </w:r>
            <w:r w:rsidRPr="00A20A17">
              <w:rPr>
                <w:rFonts w:ascii="Calibri" w:eastAsia="Calibri" w:hAnsi="Calibri" w:cs="Arial"/>
                <w:sz w:val="18"/>
                <w:szCs w:val="18"/>
              </w:rPr>
              <w:fldChar w:fldCharType="separate"/>
            </w:r>
            <w:r w:rsidRPr="00A20A17">
              <w:rPr>
                <w:rFonts w:ascii="Calibri" w:eastAsia="Calibri" w:hAnsi="Calibri" w:cs="Arial"/>
                <w:noProof/>
                <w:sz w:val="18"/>
                <w:szCs w:val="18"/>
                <w:vertAlign w:val="superscript"/>
              </w:rPr>
              <w:t>15</w:t>
            </w:r>
            <w:r w:rsidRPr="00A20A17">
              <w:rPr>
                <w:rFonts w:ascii="Calibri" w:eastAsia="Calibri" w:hAnsi="Calibri" w:cs="Arial"/>
                <w:sz w:val="18"/>
                <w:szCs w:val="18"/>
              </w:rPr>
              <w:fldChar w:fldCharType="end"/>
            </w:r>
            <w:r w:rsidRPr="00A20A17">
              <w:rPr>
                <w:rFonts w:ascii="Calibri" w:eastAsia="Calibri" w:hAnsi="Calibri" w:cs="Arial"/>
                <w:sz w:val="18"/>
                <w:szCs w:val="18"/>
              </w:rPr>
              <w:t>.</w:t>
            </w:r>
          </w:p>
        </w:tc>
        <w:tc>
          <w:tcPr>
            <w:tcW w:w="0" w:type="auto"/>
            <w:shd w:val="clear" w:color="auto" w:fill="auto"/>
          </w:tcPr>
          <w:p w14:paraId="70A175FE" w14:textId="77777777" w:rsidR="00FE37DB" w:rsidRPr="00A20A17" w:rsidRDefault="00FE37DB" w:rsidP="00A80B48">
            <w:pPr>
              <w:spacing w:before="60" w:after="60" w:line="240" w:lineRule="auto"/>
              <w:jc w:val="right"/>
              <w:rPr>
                <w:rFonts w:ascii="Calibri" w:eastAsia="Calibri" w:hAnsi="Calibri" w:cs="Arial"/>
                <w:sz w:val="18"/>
                <w:szCs w:val="18"/>
              </w:rPr>
            </w:pPr>
            <w:r w:rsidRPr="00A20A17">
              <w:rPr>
                <w:rFonts w:ascii="Calibri" w:eastAsia="Calibri" w:hAnsi="Calibri" w:cs="Arial"/>
                <w:sz w:val="18"/>
                <w:szCs w:val="18"/>
              </w:rPr>
              <w:t>3</w:t>
            </w:r>
          </w:p>
        </w:tc>
      </w:tr>
      <w:tr w:rsidR="00FE37DB" w:rsidRPr="00A20A17" w14:paraId="40CA3EC8" w14:textId="77777777" w:rsidTr="00A80B48">
        <w:tc>
          <w:tcPr>
            <w:tcW w:w="0" w:type="auto"/>
          </w:tcPr>
          <w:p w14:paraId="7988DCA9" w14:textId="77777777" w:rsidR="00FE37DB" w:rsidRPr="00A20A17" w:rsidRDefault="00FE37DB" w:rsidP="00A80B48">
            <w:pPr>
              <w:numPr>
                <w:ilvl w:val="0"/>
                <w:numId w:val="9"/>
              </w:numPr>
              <w:spacing w:before="60" w:after="60" w:line="240" w:lineRule="auto"/>
              <w:rPr>
                <w:rFonts w:ascii="Calibri" w:eastAsia="Calibri" w:hAnsi="Calibri" w:cs="Arial"/>
                <w:sz w:val="18"/>
                <w:szCs w:val="18"/>
              </w:rPr>
            </w:pPr>
            <w:r w:rsidRPr="00A20A17">
              <w:rPr>
                <w:rFonts w:ascii="Calibri" w:eastAsia="Calibri" w:hAnsi="Calibri" w:cs="Arial"/>
                <w:sz w:val="18"/>
                <w:szCs w:val="18"/>
              </w:rPr>
              <w:t>The exponential model informs the risk of CV events.</w:t>
            </w:r>
          </w:p>
        </w:tc>
        <w:tc>
          <w:tcPr>
            <w:tcW w:w="0" w:type="auto"/>
            <w:shd w:val="clear" w:color="auto" w:fill="auto"/>
          </w:tcPr>
          <w:p w14:paraId="12862F1E" w14:textId="77777777" w:rsidR="00FE37DB" w:rsidRPr="00A20A17" w:rsidRDefault="00FE37DB" w:rsidP="00A80B48">
            <w:pPr>
              <w:spacing w:before="60" w:after="60" w:line="240" w:lineRule="auto"/>
              <w:jc w:val="right"/>
              <w:rPr>
                <w:rFonts w:ascii="Calibri" w:eastAsia="Calibri" w:hAnsi="Calibri" w:cs="Arial"/>
                <w:sz w:val="18"/>
                <w:szCs w:val="18"/>
              </w:rPr>
            </w:pPr>
            <w:r w:rsidRPr="00A20A17">
              <w:rPr>
                <w:rFonts w:ascii="Calibri" w:eastAsia="Calibri" w:hAnsi="Calibri" w:cs="Arial"/>
                <w:sz w:val="18"/>
                <w:szCs w:val="18"/>
              </w:rPr>
              <w:t>9</w:t>
            </w:r>
          </w:p>
        </w:tc>
      </w:tr>
      <w:tr w:rsidR="00FE37DB" w:rsidRPr="00A20A17" w14:paraId="2C3804A2" w14:textId="77777777" w:rsidTr="00A80B48">
        <w:tc>
          <w:tcPr>
            <w:tcW w:w="0" w:type="auto"/>
          </w:tcPr>
          <w:p w14:paraId="29D750EE" w14:textId="77777777" w:rsidR="00FE37DB" w:rsidRPr="00A20A17" w:rsidRDefault="00FE37DB" w:rsidP="00A80B48">
            <w:pPr>
              <w:numPr>
                <w:ilvl w:val="0"/>
                <w:numId w:val="9"/>
              </w:numPr>
              <w:spacing w:before="60" w:after="60" w:line="240" w:lineRule="auto"/>
              <w:rPr>
                <w:rFonts w:ascii="Calibri" w:eastAsia="Calibri" w:hAnsi="Calibri" w:cs="Arial"/>
                <w:sz w:val="18"/>
                <w:szCs w:val="18"/>
              </w:rPr>
            </w:pPr>
            <w:r w:rsidRPr="00A20A17">
              <w:rPr>
                <w:rFonts w:ascii="Calibri" w:eastAsia="Calibri" w:hAnsi="Calibri" w:cs="Arial"/>
                <w:sz w:val="18"/>
                <w:szCs w:val="18"/>
              </w:rPr>
              <w:t xml:space="preserve">The risk of the first CV event after 10 years is based on the risk equations estimated from the CPRD cohort, without the upwards adjustment.  </w:t>
            </w:r>
          </w:p>
        </w:tc>
        <w:tc>
          <w:tcPr>
            <w:tcW w:w="0" w:type="auto"/>
            <w:shd w:val="clear" w:color="auto" w:fill="auto"/>
          </w:tcPr>
          <w:p w14:paraId="44487EDF" w14:textId="77777777" w:rsidR="00FE37DB" w:rsidRPr="00A20A17" w:rsidRDefault="00FE37DB" w:rsidP="00A80B48">
            <w:pPr>
              <w:spacing w:before="60" w:after="60" w:line="240" w:lineRule="auto"/>
              <w:jc w:val="right"/>
              <w:rPr>
                <w:rFonts w:ascii="Calibri" w:eastAsia="Calibri" w:hAnsi="Calibri" w:cs="Arial"/>
                <w:sz w:val="18"/>
                <w:szCs w:val="18"/>
              </w:rPr>
            </w:pPr>
            <w:r w:rsidRPr="00A20A17">
              <w:rPr>
                <w:rFonts w:ascii="Calibri" w:eastAsia="Calibri" w:hAnsi="Calibri" w:cs="Arial"/>
                <w:sz w:val="18"/>
                <w:szCs w:val="18"/>
              </w:rPr>
              <w:t>-12</w:t>
            </w:r>
          </w:p>
        </w:tc>
      </w:tr>
      <w:tr w:rsidR="00FE37DB" w:rsidRPr="00A20A17" w14:paraId="13AFC12E" w14:textId="77777777" w:rsidTr="00A80B48">
        <w:tc>
          <w:tcPr>
            <w:tcW w:w="0" w:type="auto"/>
            <w:shd w:val="clear" w:color="auto" w:fill="auto"/>
          </w:tcPr>
          <w:p w14:paraId="7C168999" w14:textId="77777777" w:rsidR="00FE37DB" w:rsidRPr="00A20A17" w:rsidRDefault="00FE37DB" w:rsidP="00A80B48">
            <w:pPr>
              <w:numPr>
                <w:ilvl w:val="0"/>
                <w:numId w:val="9"/>
              </w:numPr>
              <w:spacing w:before="60" w:after="60" w:line="240" w:lineRule="auto"/>
              <w:rPr>
                <w:rFonts w:ascii="Calibri" w:eastAsia="Calibri" w:hAnsi="Calibri" w:cs="Arial"/>
                <w:sz w:val="18"/>
                <w:szCs w:val="18"/>
              </w:rPr>
            </w:pPr>
            <w:r w:rsidRPr="00A20A17">
              <w:rPr>
                <w:rFonts w:ascii="Calibri" w:eastAsia="Calibri" w:hAnsi="Calibri" w:cs="Arial"/>
                <w:sz w:val="18"/>
                <w:szCs w:val="18"/>
              </w:rPr>
              <w:t xml:space="preserve">The risk of the first CV event is adjusted upwards with the standardised mortality ratio obtained from comparing the Simon Broome cohort with the general population mortality risk, and assuming that this ratio can be applied to the hazard rate </w:t>
            </w:r>
            <w:r w:rsidRPr="00A20A17">
              <w:rPr>
                <w:rFonts w:ascii="Calibri" w:eastAsia="Calibri" w:hAnsi="Calibri" w:cs="Arial"/>
                <w:sz w:val="18"/>
                <w:szCs w:val="18"/>
              </w:rPr>
              <w:fldChar w:fldCharType="begin">
                <w:fldData xml:space="preserve">PEVuZE5vdGU+PENpdGU+PEF1dGhvcj5IdW1waHJpZXM8L0F1dGhvcj48WWVhcj4yMDE4PC9ZZWFy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</w:fldData>
              </w:fldChar>
            </w:r>
            <w:r w:rsidRPr="00A20A17">
              <w:rPr>
                <w:rFonts w:ascii="Calibri" w:eastAsia="Calibri" w:hAnsi="Calibri" w:cs="Arial"/>
                <w:sz w:val="18"/>
                <w:szCs w:val="18"/>
              </w:rPr>
              <w:instrText xml:space="preserve"> ADDIN EN.CITE </w:instrText>
            </w:r>
            <w:r w:rsidRPr="00A20A17">
              <w:rPr>
                <w:rFonts w:ascii="Calibri" w:eastAsia="Calibri" w:hAnsi="Calibri" w:cs="Arial"/>
                <w:sz w:val="18"/>
                <w:szCs w:val="18"/>
              </w:rPr>
              <w:fldChar w:fldCharType="begin">
                <w:fldData xml:space="preserve">PEVuZE5vdGU+PENpdGU+PEF1dGhvcj5IdW1waHJpZXM8L0F1dGhvcj48WWVhcj4yMDE4PC9ZZWFy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</w:fldData>
              </w:fldChar>
            </w:r>
            <w:r w:rsidRPr="00A20A17">
              <w:rPr>
                <w:rFonts w:ascii="Calibri" w:eastAsia="Calibri" w:hAnsi="Calibri" w:cs="Arial"/>
                <w:sz w:val="18"/>
                <w:szCs w:val="18"/>
              </w:rPr>
              <w:instrText xml:space="preserve"> ADDIN EN.CITE.DATA </w:instrText>
            </w:r>
            <w:r w:rsidRPr="00A20A17">
              <w:rPr>
                <w:rFonts w:ascii="Calibri" w:eastAsia="Calibri" w:hAnsi="Calibri" w:cs="Arial"/>
                <w:sz w:val="18"/>
                <w:szCs w:val="18"/>
              </w:rPr>
            </w:r>
            <w:r w:rsidRPr="00A20A17">
              <w:rPr>
                <w:rFonts w:ascii="Calibri" w:eastAsia="Calibri" w:hAnsi="Calibri" w:cs="Arial"/>
                <w:sz w:val="18"/>
                <w:szCs w:val="18"/>
              </w:rPr>
              <w:fldChar w:fldCharType="end"/>
            </w:r>
            <w:r w:rsidRPr="00A20A17">
              <w:rPr>
                <w:rFonts w:ascii="Calibri" w:eastAsia="Calibri" w:hAnsi="Calibri" w:cs="Arial"/>
                <w:sz w:val="18"/>
                <w:szCs w:val="18"/>
              </w:rPr>
            </w:r>
            <w:r w:rsidRPr="00A20A17">
              <w:rPr>
                <w:rFonts w:ascii="Calibri" w:eastAsia="Calibri" w:hAnsi="Calibri" w:cs="Arial"/>
                <w:sz w:val="18"/>
                <w:szCs w:val="18"/>
              </w:rPr>
              <w:fldChar w:fldCharType="separate"/>
            </w:r>
            <w:r w:rsidRPr="00A20A17">
              <w:rPr>
                <w:rFonts w:ascii="Calibri" w:eastAsia="Calibri" w:hAnsi="Calibri" w:cs="Arial"/>
                <w:noProof/>
                <w:sz w:val="18"/>
                <w:szCs w:val="18"/>
                <w:vertAlign w:val="superscript"/>
              </w:rPr>
              <w:t>26</w:t>
            </w:r>
            <w:r w:rsidRPr="00A20A17">
              <w:rPr>
                <w:rFonts w:ascii="Calibri" w:eastAsia="Calibri" w:hAnsi="Calibri" w:cs="Arial"/>
                <w:sz w:val="18"/>
                <w:szCs w:val="18"/>
              </w:rPr>
              <w:fldChar w:fldCharType="end"/>
            </w:r>
            <w:r w:rsidRPr="00A20A17">
              <w:rPr>
                <w:rFonts w:ascii="Calibri" w:eastAsia="Calibri" w:hAnsi="Calibri" w:cs="Arial"/>
                <w:sz w:val="18"/>
                <w:szCs w:val="18"/>
              </w:rPr>
              <w:t>.</w:t>
            </w:r>
          </w:p>
        </w:tc>
        <w:tc>
          <w:tcPr>
            <w:tcW w:w="0" w:type="auto"/>
            <w:shd w:val="clear" w:color="auto" w:fill="auto"/>
          </w:tcPr>
          <w:p w14:paraId="07A9AF1E" w14:textId="77777777" w:rsidR="00FE37DB" w:rsidRPr="00A20A17" w:rsidRDefault="00FE37DB" w:rsidP="00A80B48">
            <w:pPr>
              <w:spacing w:before="60" w:after="60" w:line="240" w:lineRule="auto"/>
              <w:jc w:val="right"/>
              <w:rPr>
                <w:rFonts w:ascii="Calibri" w:eastAsia="Calibri" w:hAnsi="Calibri" w:cs="Arial"/>
                <w:sz w:val="18"/>
                <w:szCs w:val="18"/>
              </w:rPr>
            </w:pPr>
            <w:r w:rsidRPr="00A20A17">
              <w:rPr>
                <w:rFonts w:ascii="Calibri" w:eastAsia="Calibri" w:hAnsi="Calibri" w:cs="Arial"/>
                <w:sz w:val="18"/>
                <w:szCs w:val="18"/>
              </w:rPr>
              <w:t>9</w:t>
            </w:r>
          </w:p>
        </w:tc>
      </w:tr>
      <w:tr w:rsidR="00FE37DB" w:rsidRPr="00A20A17" w14:paraId="003D8B20" w14:textId="77777777" w:rsidTr="00A80B48">
        <w:tc>
          <w:tcPr>
            <w:tcW w:w="0" w:type="auto"/>
          </w:tcPr>
          <w:p w14:paraId="5892CCCA" w14:textId="77777777" w:rsidR="00FE37DB" w:rsidRPr="00A20A17" w:rsidRDefault="00FE37DB" w:rsidP="00A80B48">
            <w:pPr>
              <w:numPr>
                <w:ilvl w:val="0"/>
                <w:numId w:val="9"/>
              </w:numPr>
              <w:spacing w:before="60" w:after="60" w:line="240" w:lineRule="auto"/>
              <w:rPr>
                <w:rFonts w:ascii="Calibri" w:eastAsia="Calibri" w:hAnsi="Calibri" w:cs="Arial"/>
                <w:sz w:val="18"/>
                <w:szCs w:val="18"/>
              </w:rPr>
            </w:pPr>
            <w:r w:rsidRPr="00A20A17">
              <w:rPr>
                <w:rFonts w:ascii="Calibri" w:eastAsia="Calibri" w:hAnsi="Calibri" w:cs="Arial"/>
                <w:sz w:val="18"/>
                <w:szCs w:val="18"/>
              </w:rPr>
              <w:t xml:space="preserve">The probability of death due to the first CV event depends on age: lower for younger ages and larger for older ages, as inferred from the probability of death following acute myocardial infarction in the general population </w:t>
            </w:r>
            <w:r w:rsidRPr="00A20A17">
              <w:rPr>
                <w:rFonts w:ascii="Calibri" w:eastAsia="Calibri" w:hAnsi="Calibri" w:cs="Arial"/>
                <w:sz w:val="18"/>
                <w:szCs w:val="18"/>
              </w:rPr>
              <w:fldChar w:fldCharType="begin"/>
            </w:r>
            <w:r w:rsidRPr="00A20A17">
              <w:rPr>
                <w:rFonts w:ascii="Calibri" w:eastAsia="Calibri" w:hAnsi="Calibri" w:cs="Arial"/>
                <w:sz w:val="18"/>
                <w:szCs w:val="18"/>
              </w:rPr>
              <w:instrText xml:space="preserve"> ADDIN EN.CITE &lt;EndNote&gt;&lt;Cite&gt;&lt;Author&gt;Asaria&lt;/Author&gt;&lt;Year&gt;2017&lt;/Year&gt;&lt;IDText&gt;Acute myocardial infarction hospital admissions and deaths in England: a national follow-back and follow-forward record-linkage study&lt;/IDText&gt;&lt;DisplayText&gt;&lt;style face="superscript"&gt;27&lt;/style&gt;&lt;/DisplayText&gt;&lt;record&gt;&lt;dates&gt;&lt;pub-dates&gt;&lt;date&gt;04&lt;/date&gt;&lt;/pub-dates&gt;&lt;year&gt;2017&lt;/year&gt;&lt;/dates&gt;&lt;keywords&gt;&lt;keyword&gt;Adult&lt;/keyword&gt;&lt;keyword&gt;Aged&lt;/keyword&gt;&lt;keyword&gt;Aged, 80 and over&lt;/keyword&gt;&lt;keyword&gt;England&lt;/keyword&gt;&lt;keyword&gt;Female&lt;/keyword&gt;&lt;keyword&gt;Hospital Mortality&lt;/keyword&gt;&lt;keyword&gt;Hospitalization&lt;/keyword&gt;&lt;keyword&gt;Humans&lt;/keyword&gt;&lt;keyword&gt;Male&lt;/keyword&gt;&lt;keyword&gt;Medical Record Linkage&lt;/keyword&gt;&lt;keyword&gt;Middle Aged&lt;/keyword&gt;&lt;keyword&gt;Myocardial Infarction&lt;/keyword&gt;&lt;/keywords&gt;&lt;urls&gt;&lt;related-urls&gt;&lt;url&gt;https://www.ncbi.nlm.nih.gov/pubmed/29253451&lt;/url&gt;&lt;/related-urls&gt;&lt;/urls&gt;&lt;isbn&gt;2468-2667&lt;/isbn&gt;&lt;custom2&gt;PMC6196770&lt;/custom2&gt;&lt;titles&gt;&lt;title&gt;Acute myocardial infarction hospital admissions and deaths in England: a national follow-back and follow-forward record-linkage study&lt;/title&gt;&lt;secondary-title&gt;Lancet Public Health&lt;/secondary-title&gt;&lt;/titles&gt;&lt;pages&gt;e191-e201&lt;/pages&gt;&lt;number&gt;4&lt;/number&gt;&lt;contributors&gt;&lt;authors&gt;&lt;author&gt;Asaria, P.&lt;/author&gt;&lt;author&gt;Elliott, P.&lt;/author&gt;&lt;author&gt;Douglass, M.&lt;/author&gt;&lt;author&gt;Obermeyer, Z.&lt;/author&gt;&lt;author&gt;Soljak, M.&lt;/author&gt;&lt;author&gt;Majeed, A.&lt;/author&gt;&lt;author&gt;Ezzati, M.&lt;/author&gt;&lt;/authors&gt;&lt;/contributors&gt;&lt;edition&gt;2017/03/01&lt;/edition&gt;&lt;language&gt;eng&lt;/language&gt;&lt;added-date format="utc"&gt;1621873918&lt;/added-date&gt;&lt;ref-type name="Journal Article"&gt;17&lt;/ref-type&gt;&lt;rec-number&gt;227&lt;/rec-number&gt;&lt;last-updated-date format="utc"&gt;1621873918&lt;/last-updated-date&gt;&lt;accession-num&gt;29253451&lt;/accession-num&gt;&lt;electronic-resource-num&gt;10.1016/S2468-2667(17)30032-4&lt;/electronic-resource-num&gt;&lt;volume&gt;2&lt;/volume&gt;&lt;/record&gt;&lt;/Cite&gt;&lt;/EndNote&gt;</w:instrText>
            </w:r>
            <w:r w:rsidRPr="00A20A17">
              <w:rPr>
                <w:rFonts w:ascii="Calibri" w:eastAsia="Calibri" w:hAnsi="Calibri" w:cs="Arial"/>
                <w:sz w:val="18"/>
                <w:szCs w:val="18"/>
              </w:rPr>
              <w:fldChar w:fldCharType="separate"/>
            </w:r>
            <w:r w:rsidRPr="00A20A17">
              <w:rPr>
                <w:rFonts w:ascii="Calibri" w:eastAsia="Calibri" w:hAnsi="Calibri" w:cs="Arial"/>
                <w:noProof/>
                <w:sz w:val="18"/>
                <w:szCs w:val="18"/>
                <w:vertAlign w:val="superscript"/>
              </w:rPr>
              <w:t>27</w:t>
            </w:r>
            <w:r w:rsidRPr="00A20A17">
              <w:rPr>
                <w:rFonts w:ascii="Calibri" w:eastAsia="Calibri" w:hAnsi="Calibri" w:cs="Arial"/>
                <w:sz w:val="18"/>
                <w:szCs w:val="18"/>
              </w:rPr>
              <w:fldChar w:fldCharType="end"/>
            </w:r>
            <w:r w:rsidRPr="00A20A17">
              <w:rPr>
                <w:rFonts w:ascii="Calibri" w:eastAsia="Calibri" w:hAnsi="Calibri" w:cs="Arial"/>
                <w:sz w:val="18"/>
                <w:szCs w:val="18"/>
              </w:rPr>
              <w:t>.</w:t>
            </w:r>
          </w:p>
        </w:tc>
        <w:tc>
          <w:tcPr>
            <w:tcW w:w="0" w:type="auto"/>
            <w:shd w:val="clear" w:color="auto" w:fill="auto"/>
          </w:tcPr>
          <w:p w14:paraId="12C73B60" w14:textId="77777777" w:rsidR="00FE37DB" w:rsidRPr="00A20A17" w:rsidRDefault="00FE37DB" w:rsidP="00A80B48">
            <w:pPr>
              <w:spacing w:before="60" w:after="60" w:line="240" w:lineRule="auto"/>
              <w:jc w:val="right"/>
              <w:rPr>
                <w:rFonts w:ascii="Calibri" w:eastAsia="Calibri" w:hAnsi="Calibri" w:cs="Arial"/>
                <w:sz w:val="18"/>
                <w:szCs w:val="18"/>
              </w:rPr>
            </w:pPr>
            <w:r w:rsidRPr="00A20A17">
              <w:rPr>
                <w:rFonts w:ascii="Calibri" w:eastAsia="Calibri" w:hAnsi="Calibri" w:cs="Arial"/>
                <w:sz w:val="18"/>
                <w:szCs w:val="18"/>
              </w:rPr>
              <w:t>2</w:t>
            </w:r>
          </w:p>
        </w:tc>
      </w:tr>
      <w:tr w:rsidR="00FE37DB" w:rsidRPr="00A20A17" w14:paraId="06B1545C" w14:textId="77777777" w:rsidTr="00A80B48">
        <w:tc>
          <w:tcPr>
            <w:tcW w:w="0" w:type="auto"/>
            <w:shd w:val="clear" w:color="auto" w:fill="auto"/>
          </w:tcPr>
          <w:p w14:paraId="540EF568" w14:textId="77777777" w:rsidR="00FE37DB" w:rsidRPr="00A20A17" w:rsidRDefault="00FE37DB" w:rsidP="00A80B48">
            <w:pPr>
              <w:numPr>
                <w:ilvl w:val="0"/>
                <w:numId w:val="9"/>
              </w:numPr>
              <w:spacing w:before="60" w:after="60" w:line="240" w:lineRule="auto"/>
              <w:rPr>
                <w:rFonts w:ascii="Calibri" w:eastAsia="Calibri" w:hAnsi="Calibri" w:cs="Arial"/>
                <w:sz w:val="18"/>
                <w:szCs w:val="18"/>
              </w:rPr>
            </w:pPr>
            <w:r w:rsidRPr="00A20A17">
              <w:rPr>
                <w:rFonts w:ascii="Calibri" w:eastAsia="Calibri" w:hAnsi="Calibri" w:cs="Arial"/>
                <w:sz w:val="18"/>
                <w:szCs w:val="18"/>
              </w:rPr>
              <w:t>Doubling the risk of death post-first non-fatal CV event compared to the base-case.</w:t>
            </w:r>
          </w:p>
        </w:tc>
        <w:tc>
          <w:tcPr>
            <w:tcW w:w="0" w:type="auto"/>
            <w:shd w:val="clear" w:color="auto" w:fill="auto"/>
          </w:tcPr>
          <w:p w14:paraId="5CE98C1E" w14:textId="77777777" w:rsidR="00FE37DB" w:rsidRPr="00A20A17" w:rsidRDefault="00FE37DB" w:rsidP="00A80B48">
            <w:pPr>
              <w:spacing w:before="60" w:after="60" w:line="240" w:lineRule="auto"/>
              <w:jc w:val="right"/>
              <w:rPr>
                <w:rFonts w:ascii="Calibri" w:eastAsia="Calibri" w:hAnsi="Calibri" w:cs="Arial"/>
                <w:sz w:val="18"/>
                <w:szCs w:val="18"/>
              </w:rPr>
            </w:pPr>
            <w:r w:rsidRPr="00A20A17">
              <w:rPr>
                <w:rFonts w:ascii="Calibri" w:eastAsia="Calibri" w:hAnsi="Calibri" w:cs="Arial"/>
                <w:sz w:val="18"/>
                <w:szCs w:val="18"/>
              </w:rPr>
              <w:t>3</w:t>
            </w:r>
          </w:p>
        </w:tc>
      </w:tr>
      <w:tr w:rsidR="00FE37DB" w:rsidRPr="00A20A17" w14:paraId="2C6A20DC" w14:textId="77777777" w:rsidTr="00A80B48">
        <w:tc>
          <w:tcPr>
            <w:tcW w:w="0" w:type="auto"/>
          </w:tcPr>
          <w:p w14:paraId="5BFE11C1" w14:textId="77777777" w:rsidR="00FE37DB" w:rsidRPr="00A20A17" w:rsidRDefault="00FE37DB" w:rsidP="00A80B48">
            <w:pPr>
              <w:numPr>
                <w:ilvl w:val="0"/>
                <w:numId w:val="9"/>
              </w:numPr>
              <w:spacing w:before="60" w:after="60" w:line="240" w:lineRule="auto"/>
              <w:rPr>
                <w:rFonts w:ascii="Calibri" w:eastAsia="Calibri" w:hAnsi="Calibri" w:cs="Arial"/>
                <w:sz w:val="18"/>
                <w:szCs w:val="18"/>
              </w:rPr>
            </w:pPr>
            <w:r w:rsidRPr="00A20A17">
              <w:rPr>
                <w:rFonts w:ascii="Calibri" w:eastAsia="Calibri" w:hAnsi="Calibri" w:cs="Arial"/>
                <w:sz w:val="18"/>
                <w:szCs w:val="18"/>
              </w:rPr>
              <w:t>The hazard rate for death after the first non-fatal CV event at 20-years is generalisable to the entire time horizon.</w:t>
            </w:r>
          </w:p>
        </w:tc>
        <w:tc>
          <w:tcPr>
            <w:tcW w:w="0" w:type="auto"/>
            <w:shd w:val="clear" w:color="auto" w:fill="auto"/>
          </w:tcPr>
          <w:p w14:paraId="3CFC0C21" w14:textId="77777777" w:rsidR="00FE37DB" w:rsidRPr="00A20A17" w:rsidRDefault="00FE37DB" w:rsidP="00A80B48">
            <w:pPr>
              <w:spacing w:before="60" w:after="60" w:line="240" w:lineRule="auto"/>
              <w:jc w:val="right"/>
              <w:rPr>
                <w:rFonts w:ascii="Calibri" w:eastAsia="Calibri" w:hAnsi="Calibri" w:cs="Arial"/>
                <w:sz w:val="18"/>
                <w:szCs w:val="18"/>
              </w:rPr>
            </w:pPr>
            <w:r w:rsidRPr="00A20A17">
              <w:rPr>
                <w:rFonts w:ascii="Calibri" w:eastAsia="Calibri" w:hAnsi="Calibri" w:cs="Arial"/>
                <w:sz w:val="18"/>
                <w:szCs w:val="18"/>
              </w:rPr>
              <w:t>2</w:t>
            </w:r>
          </w:p>
        </w:tc>
      </w:tr>
      <w:tr w:rsidR="00FE37DB" w:rsidRPr="00A20A17" w14:paraId="602CDE7E" w14:textId="77777777" w:rsidTr="00A80B48">
        <w:tc>
          <w:tcPr>
            <w:tcW w:w="0" w:type="auto"/>
            <w:gridSpan w:val="2"/>
            <w:shd w:val="clear" w:color="auto" w:fill="E7E6E6"/>
          </w:tcPr>
          <w:p w14:paraId="7E7B6DB6" w14:textId="77777777" w:rsidR="00FE37DB" w:rsidRPr="00A20A17" w:rsidRDefault="00FE37DB" w:rsidP="00A80B48">
            <w:pPr>
              <w:spacing w:before="60" w:after="60" w:line="240" w:lineRule="auto"/>
              <w:jc w:val="right"/>
              <w:rPr>
                <w:rFonts w:ascii="Calibri" w:eastAsia="Calibri" w:hAnsi="Calibri" w:cs="Arial"/>
                <w:sz w:val="18"/>
                <w:szCs w:val="18"/>
              </w:rPr>
            </w:pPr>
            <w:r w:rsidRPr="00A20A17">
              <w:rPr>
                <w:rFonts w:ascii="Calibri" w:eastAsia="Calibri" w:hAnsi="Calibri" w:cs="Arial"/>
                <w:sz w:val="18"/>
                <w:szCs w:val="18"/>
              </w:rPr>
              <w:t xml:space="preserve">Scenarios on the costs </w:t>
            </w:r>
          </w:p>
        </w:tc>
      </w:tr>
      <w:tr w:rsidR="00FE37DB" w:rsidRPr="00A20A17" w14:paraId="09D435FA" w14:textId="77777777" w:rsidTr="00A80B48">
        <w:tc>
          <w:tcPr>
            <w:tcW w:w="0" w:type="auto"/>
          </w:tcPr>
          <w:p w14:paraId="34607FE2" w14:textId="77777777" w:rsidR="00FE37DB" w:rsidRPr="00A20A17" w:rsidRDefault="00FE37DB" w:rsidP="00A80B48">
            <w:pPr>
              <w:numPr>
                <w:ilvl w:val="0"/>
                <w:numId w:val="9"/>
              </w:numPr>
              <w:spacing w:before="60" w:after="60" w:line="240" w:lineRule="auto"/>
              <w:rPr>
                <w:rFonts w:ascii="Calibri" w:eastAsia="Calibri" w:hAnsi="Calibri" w:cs="Arial"/>
                <w:sz w:val="18"/>
                <w:szCs w:val="18"/>
              </w:rPr>
            </w:pPr>
            <w:r w:rsidRPr="00A20A17">
              <w:rPr>
                <w:rFonts w:ascii="Calibri" w:eastAsia="Calibri" w:hAnsi="Calibri" w:cs="Arial"/>
                <w:sz w:val="18"/>
                <w:szCs w:val="18"/>
              </w:rPr>
              <w:t xml:space="preserve">Individuals are monitored only from 10 years of age. </w:t>
            </w:r>
          </w:p>
        </w:tc>
        <w:tc>
          <w:tcPr>
            <w:tcW w:w="0" w:type="auto"/>
          </w:tcPr>
          <w:p w14:paraId="7516E175" w14:textId="77777777" w:rsidR="00FE37DB" w:rsidRPr="00A20A17" w:rsidRDefault="00FE37DB" w:rsidP="00A80B48">
            <w:pPr>
              <w:spacing w:before="60" w:after="60" w:line="240" w:lineRule="auto"/>
              <w:jc w:val="right"/>
              <w:rPr>
                <w:rFonts w:ascii="Calibri" w:eastAsia="Calibri" w:hAnsi="Calibri" w:cs="Arial"/>
                <w:sz w:val="18"/>
                <w:szCs w:val="18"/>
              </w:rPr>
            </w:pPr>
            <w:r w:rsidRPr="00A20A17">
              <w:rPr>
                <w:rFonts w:ascii="Calibri" w:eastAsia="Calibri" w:hAnsi="Calibri" w:cs="Arial"/>
                <w:sz w:val="18"/>
                <w:szCs w:val="18"/>
              </w:rPr>
              <w:t>0</w:t>
            </w:r>
          </w:p>
        </w:tc>
      </w:tr>
      <w:tr w:rsidR="00FE37DB" w:rsidRPr="00A20A17" w14:paraId="07A39F73" w14:textId="77777777" w:rsidTr="00A80B48">
        <w:tc>
          <w:tcPr>
            <w:tcW w:w="0" w:type="auto"/>
          </w:tcPr>
          <w:p w14:paraId="2D275DA9" w14:textId="77777777" w:rsidR="00FE37DB" w:rsidRPr="00A20A17" w:rsidRDefault="00FE37DB" w:rsidP="00A80B48">
            <w:pPr>
              <w:numPr>
                <w:ilvl w:val="0"/>
                <w:numId w:val="9"/>
              </w:numPr>
              <w:spacing w:before="60" w:after="60" w:line="240" w:lineRule="auto"/>
              <w:rPr>
                <w:rFonts w:ascii="Calibri" w:eastAsia="Calibri" w:hAnsi="Calibri" w:cs="Arial"/>
                <w:sz w:val="18"/>
                <w:szCs w:val="18"/>
              </w:rPr>
            </w:pPr>
            <w:r w:rsidRPr="00A20A17">
              <w:rPr>
                <w:rFonts w:ascii="Calibri" w:eastAsia="Calibri" w:hAnsi="Calibri" w:cs="Arial"/>
                <w:sz w:val="18"/>
                <w:szCs w:val="18"/>
              </w:rPr>
              <w:t>Low intensity monitoring: 2 appointments in the first year after treatment initiation, then 0.75 appointments per year if adults or 1 appointment per year if children and adolescents. Children and adolescents who are not treated have 1 appointment (and 1 lipid test) in the year of diagnosis and none thereafter until treatment.</w:t>
            </w:r>
          </w:p>
        </w:tc>
        <w:tc>
          <w:tcPr>
            <w:tcW w:w="0" w:type="auto"/>
          </w:tcPr>
          <w:p w14:paraId="5A40EBD1" w14:textId="77777777" w:rsidR="00FE37DB" w:rsidRPr="00A20A17" w:rsidRDefault="00FE37DB" w:rsidP="00A80B48">
            <w:pPr>
              <w:spacing w:before="60" w:after="60" w:line="240" w:lineRule="auto"/>
              <w:jc w:val="right"/>
              <w:rPr>
                <w:rFonts w:ascii="Calibri" w:eastAsia="Calibri" w:hAnsi="Calibri" w:cs="Arial"/>
                <w:sz w:val="18"/>
                <w:szCs w:val="18"/>
              </w:rPr>
            </w:pPr>
            <w:r w:rsidRPr="00A20A17">
              <w:rPr>
                <w:rFonts w:ascii="Calibri" w:eastAsia="Calibri" w:hAnsi="Calibri" w:cs="Arial"/>
                <w:sz w:val="18"/>
                <w:szCs w:val="18"/>
              </w:rPr>
              <w:t>3</w:t>
            </w:r>
          </w:p>
        </w:tc>
      </w:tr>
      <w:tr w:rsidR="00FE37DB" w:rsidRPr="00A20A17" w14:paraId="5E9A8964" w14:textId="77777777" w:rsidTr="00A80B48">
        <w:tc>
          <w:tcPr>
            <w:tcW w:w="0" w:type="auto"/>
          </w:tcPr>
          <w:p w14:paraId="2B28AF2F" w14:textId="77777777" w:rsidR="00FE37DB" w:rsidRPr="00A20A17" w:rsidRDefault="00FE37DB" w:rsidP="00A80B48">
            <w:pPr>
              <w:numPr>
                <w:ilvl w:val="0"/>
                <w:numId w:val="9"/>
              </w:numPr>
              <w:spacing w:before="60" w:after="60" w:line="240" w:lineRule="auto"/>
              <w:rPr>
                <w:rFonts w:ascii="Calibri" w:eastAsia="Calibri" w:hAnsi="Calibri" w:cs="Arial"/>
                <w:sz w:val="18"/>
                <w:szCs w:val="18"/>
              </w:rPr>
            </w:pPr>
            <w:r w:rsidRPr="00A20A17">
              <w:rPr>
                <w:rFonts w:ascii="Calibri" w:eastAsia="Calibri" w:hAnsi="Calibri" w:cs="Arial"/>
                <w:sz w:val="18"/>
                <w:szCs w:val="18"/>
              </w:rPr>
              <w:t>High intensity monitoring: individuals have 3 appointments (and lipid tests) in the first year after treatment initiation, then 1.2 appointments per year if adults or 2 appointments per year if children and adolescents. Children and adolescents who are not treated have 1 appointment (and 1 lipid test) every year until treatment.</w:t>
            </w:r>
          </w:p>
        </w:tc>
        <w:tc>
          <w:tcPr>
            <w:tcW w:w="0" w:type="auto"/>
          </w:tcPr>
          <w:p w14:paraId="52D55E96" w14:textId="77777777" w:rsidR="00FE37DB" w:rsidRPr="00A20A17" w:rsidRDefault="00FE37DB" w:rsidP="00A80B48">
            <w:pPr>
              <w:spacing w:before="60" w:after="60" w:line="240" w:lineRule="auto"/>
              <w:jc w:val="right"/>
              <w:rPr>
                <w:rFonts w:ascii="Calibri" w:eastAsia="Calibri" w:hAnsi="Calibri" w:cs="Arial"/>
                <w:sz w:val="18"/>
                <w:szCs w:val="18"/>
              </w:rPr>
            </w:pPr>
            <w:r w:rsidRPr="00A20A17">
              <w:rPr>
                <w:rFonts w:ascii="Calibri" w:eastAsia="Calibri" w:hAnsi="Calibri" w:cs="Arial"/>
                <w:sz w:val="18"/>
                <w:szCs w:val="18"/>
              </w:rPr>
              <w:t>-3</w:t>
            </w:r>
          </w:p>
        </w:tc>
      </w:tr>
      <w:tr w:rsidR="00FE37DB" w:rsidRPr="00A20A17" w14:paraId="45BE0004" w14:textId="77777777" w:rsidTr="00A80B48">
        <w:tc>
          <w:tcPr>
            <w:tcW w:w="0" w:type="auto"/>
          </w:tcPr>
          <w:p w14:paraId="6995A68E" w14:textId="77777777" w:rsidR="00FE37DB" w:rsidRPr="00A20A17" w:rsidRDefault="00FE37DB" w:rsidP="00A80B48">
            <w:pPr>
              <w:numPr>
                <w:ilvl w:val="0"/>
                <w:numId w:val="9"/>
              </w:numPr>
              <w:spacing w:before="60" w:after="60" w:line="240" w:lineRule="auto"/>
              <w:rPr>
                <w:rFonts w:ascii="Calibri" w:eastAsia="Calibri" w:hAnsi="Calibri" w:cs="Arial"/>
                <w:sz w:val="18"/>
                <w:szCs w:val="18"/>
              </w:rPr>
            </w:pPr>
            <w:r w:rsidRPr="00A20A17">
              <w:rPr>
                <w:rFonts w:ascii="Calibri" w:eastAsia="Calibri" w:hAnsi="Calibri" w:cs="Arial"/>
                <w:sz w:val="18"/>
                <w:szCs w:val="18"/>
              </w:rPr>
              <w:t>50% of adult individuals who are diagnosed with FH are monitored in primary care.</w:t>
            </w:r>
          </w:p>
        </w:tc>
        <w:tc>
          <w:tcPr>
            <w:tcW w:w="0" w:type="auto"/>
          </w:tcPr>
          <w:p w14:paraId="2D237EA3" w14:textId="77777777" w:rsidR="00FE37DB" w:rsidRPr="00A20A17" w:rsidRDefault="00FE37DB" w:rsidP="00A80B48">
            <w:pPr>
              <w:spacing w:before="60" w:after="60" w:line="240" w:lineRule="auto"/>
              <w:jc w:val="right"/>
              <w:rPr>
                <w:rFonts w:ascii="Calibri" w:eastAsia="Calibri" w:hAnsi="Calibri" w:cs="Arial"/>
                <w:sz w:val="18"/>
                <w:szCs w:val="18"/>
              </w:rPr>
            </w:pPr>
            <w:r w:rsidRPr="00A20A17">
              <w:rPr>
                <w:rFonts w:ascii="Calibri" w:eastAsia="Calibri" w:hAnsi="Calibri" w:cs="Arial"/>
                <w:sz w:val="18"/>
                <w:szCs w:val="18"/>
              </w:rPr>
              <w:t>-6</w:t>
            </w:r>
          </w:p>
        </w:tc>
      </w:tr>
      <w:tr w:rsidR="00FE37DB" w:rsidRPr="00A20A17" w14:paraId="59C1E997" w14:textId="77777777" w:rsidTr="00A80B48">
        <w:tc>
          <w:tcPr>
            <w:tcW w:w="0" w:type="auto"/>
          </w:tcPr>
          <w:p w14:paraId="25137A43" w14:textId="77777777" w:rsidR="00FE37DB" w:rsidRPr="00A20A17" w:rsidRDefault="00FE37DB" w:rsidP="00A80B48">
            <w:pPr>
              <w:numPr>
                <w:ilvl w:val="0"/>
                <w:numId w:val="9"/>
              </w:numPr>
              <w:spacing w:before="60" w:after="60" w:line="240" w:lineRule="auto"/>
              <w:rPr>
                <w:rFonts w:ascii="Calibri" w:eastAsia="Calibri" w:hAnsi="Calibri" w:cs="Arial"/>
                <w:sz w:val="18"/>
                <w:szCs w:val="18"/>
              </w:rPr>
            </w:pPr>
            <w:r w:rsidRPr="00A20A17">
              <w:rPr>
                <w:rFonts w:ascii="Calibri" w:eastAsia="Calibri" w:hAnsi="Calibri" w:cs="Arial"/>
                <w:sz w:val="18"/>
                <w:szCs w:val="18"/>
              </w:rPr>
              <w:t xml:space="preserve">The costs are generalisable from the NICE CG181 </w:t>
            </w:r>
            <w:r w:rsidRPr="00A20A17">
              <w:rPr>
                <w:rFonts w:ascii="Calibri" w:eastAsia="Calibri" w:hAnsi="Calibri" w:cs="Arial"/>
                <w:sz w:val="18"/>
                <w:szCs w:val="18"/>
              </w:rPr>
              <w:fldChar w:fldCharType="begin"/>
            </w:r>
            <w:r w:rsidRPr="00A20A17">
              <w:rPr>
                <w:rFonts w:ascii="Calibri" w:eastAsia="Calibri" w:hAnsi="Calibri" w:cs="Arial"/>
                <w:sz w:val="18"/>
                <w:szCs w:val="18"/>
              </w:rPr>
              <w:instrText xml:space="preserve"> ADDIN EN.CITE &lt;EndNote&gt;&lt;Cite&gt;&lt;Author&gt;NICE&lt;/Author&gt;&lt;Year&gt;2014&lt;/Year&gt;&lt;IDText&gt;Clinical guideline 181. Lipid modification: cardiovascular risk assessment and the modification of blood lipids for the primary and secondary prevention of cardiovascular disease&lt;/IDText&gt;&lt;DisplayText&gt;&lt;style face="superscript"&gt;12&lt;/style&gt;&lt;/DisplayText&gt;&lt;record&gt;&lt;titles&gt;&lt;title&gt;Clinical guideline 181. Lipid modification: cardiovascular risk assessment and the modification of blood lipids for the primary and secondary prevention of cardiovascular disease&lt;/title&gt;&lt;short-title&gt;Clinical guideline 181. Lipid modification: cardiovascular risk assessment and the modification of blood lipids for the primary and secondary prevention of cardiovascular disease&lt;/short-title&gt;&lt;/titles&gt;&lt;contributors&gt;&lt;authors&gt;&lt;author&gt;NICE&lt;/author&gt;&lt;/authors&gt;&lt;/contributors&gt;&lt;added-date format="utc"&gt;1603453281&lt;/added-date&gt;&lt;ref-type name="Report"&gt;27&lt;/ref-type&gt;&lt;dates&gt;&lt;year&gt;2014&lt;/year&gt;&lt;/dates&gt;&lt;rec-number&gt;62&lt;/rec-number&gt;&lt;last-updated-date format="utc"&gt;1603453281&lt;/last-updated-date&gt;&lt;/record&gt;&lt;/Cite&gt;&lt;/EndNote&gt;</w:instrText>
            </w:r>
            <w:r w:rsidRPr="00A20A17">
              <w:rPr>
                <w:rFonts w:ascii="Calibri" w:eastAsia="Calibri" w:hAnsi="Calibri" w:cs="Arial"/>
                <w:sz w:val="18"/>
                <w:szCs w:val="18"/>
              </w:rPr>
              <w:fldChar w:fldCharType="separate"/>
            </w:r>
            <w:r w:rsidRPr="00A20A17">
              <w:rPr>
                <w:rFonts w:ascii="Calibri" w:eastAsia="Calibri" w:hAnsi="Calibri" w:cs="Arial"/>
                <w:noProof/>
                <w:sz w:val="18"/>
                <w:szCs w:val="18"/>
                <w:vertAlign w:val="superscript"/>
              </w:rPr>
              <w:t>12</w:t>
            </w:r>
            <w:r w:rsidRPr="00A20A17">
              <w:rPr>
                <w:rFonts w:ascii="Calibri" w:eastAsia="Calibri" w:hAnsi="Calibri" w:cs="Arial"/>
                <w:sz w:val="18"/>
                <w:szCs w:val="18"/>
              </w:rPr>
              <w:fldChar w:fldCharType="end"/>
            </w:r>
            <w:r w:rsidRPr="00A20A17">
              <w:rPr>
                <w:rFonts w:ascii="Calibri" w:eastAsia="Calibri" w:hAnsi="Calibri" w:cs="Arial"/>
                <w:sz w:val="18"/>
                <w:szCs w:val="18"/>
              </w:rPr>
              <w:t xml:space="preserve">, updated to 2019 </w:t>
            </w:r>
            <w:r w:rsidRPr="00A20A17">
              <w:rPr>
                <w:rFonts w:ascii="Calibri" w:eastAsia="Calibri" w:hAnsi="Calibri" w:cs="Arial"/>
                <w:sz w:val="18"/>
                <w:szCs w:val="18"/>
              </w:rPr>
              <w:fldChar w:fldCharType="begin"/>
            </w:r>
            <w:r w:rsidRPr="00A20A17">
              <w:rPr>
                <w:rFonts w:ascii="Calibri" w:eastAsia="Calibri" w:hAnsi="Calibri" w:cs="Arial"/>
                <w:sz w:val="18"/>
                <w:szCs w:val="18"/>
              </w:rPr>
              <w:instrText xml:space="preserve"> ADDIN EN.CITE &lt;EndNote&gt;&lt;Cite&gt;&lt;Author&gt;NHS England and NHS Improvement&lt;/Author&gt;&lt;Year&gt;2020&lt;/Year&gt;&lt;IDText&gt;National schedule of NHS costs 2019&lt;/IDText&gt;&lt;DisplayText&gt;&lt;style face="superscript"&gt;20,21&lt;/style&gt;&lt;/DisplayText&gt;&lt;record&gt;&lt;urls&gt;&lt;related-urls&gt;&lt;url&gt;https://www.england.nhs.uk/wp-content/uploads/2020/08/2_-_National_schedule_of_NHS_costs_V2.xlsx&lt;/url&gt;&lt;/related-urls&gt;&lt;/urls&gt;&lt;titles&gt;&lt;title&gt;National schedule of NHS costs 2019&lt;/title&gt;&lt;/titles&gt;&lt;access-date&gt;24/05/2021&lt;/access-date&gt;&lt;contributors&gt;&lt;authors&gt;&lt;author&gt;NHS England and NHS Improvement,&lt;/author&gt;&lt;/authors&gt;&lt;/contributors&gt;&lt;added-date format="utc"&gt;1621867475&lt;/added-date&gt;&lt;ref-type name="Dataset"&gt;59&lt;/ref-type&gt;&lt;dates&gt;&lt;year&gt;2020&lt;/year&gt;&lt;/dates&gt;&lt;rec-number&gt;194&lt;/rec-number&gt;&lt;last-updated-date format="utc"&gt;1621867475&lt;/last-updated-date&gt;&lt;/record&gt;&lt;/Cite&gt;&lt;Cite&gt;&lt;Author&gt;Curtis&lt;/Author&gt;&lt;Year&gt;2019&lt;/Year&gt;&lt;IDText&gt;Unit Costs of Health and Social Care 2019&lt;/IDText&gt;&lt;record&gt;&lt;titles&gt;&lt;title&gt;Unit Costs of Health and Social Care 2019&lt;/title&gt;&lt;/titles&gt;&lt;contributors&gt;&lt;authors&gt;&lt;author&gt;Curtis, L.&lt;/author&gt;&lt;author&gt;Burns, A.&lt;/author&gt;&lt;/authors&gt;&lt;/contributors&gt;&lt;added-date format="utc"&gt;1621867475&lt;/added-date&gt;&lt;pub-location&gt;Canterbury&lt;/pub-location&gt;&lt;ref-type name="Book"&gt;6&lt;/ref-type&gt;&lt;dates&gt;&lt;year&gt;2019&lt;/year&gt;&lt;/dates&gt;&lt;rec-number&gt;192&lt;/rec-number&gt;&lt;publisher&gt;Personal Social Services Research Unit, University of Kent&lt;/publisher&gt;&lt;last-updated-date format="utc"&gt;1621867475&lt;/last-updated-date&gt;&lt;electronic-resource-num&gt;10.22024/UniKent/01.02.79286&lt;/electronic-resource-num&gt;&lt;/record&gt;&lt;/Cite&gt;&lt;/EndNote&gt;</w:instrText>
            </w:r>
            <w:r w:rsidRPr="00A20A17">
              <w:rPr>
                <w:rFonts w:ascii="Calibri" w:eastAsia="Calibri" w:hAnsi="Calibri" w:cs="Arial"/>
                <w:sz w:val="18"/>
                <w:szCs w:val="18"/>
              </w:rPr>
              <w:fldChar w:fldCharType="separate"/>
            </w:r>
            <w:r w:rsidRPr="00A20A17">
              <w:rPr>
                <w:rFonts w:ascii="Calibri" w:eastAsia="Calibri" w:hAnsi="Calibri" w:cs="Arial"/>
                <w:noProof/>
                <w:sz w:val="18"/>
                <w:szCs w:val="18"/>
                <w:vertAlign w:val="superscript"/>
              </w:rPr>
              <w:t>20,21</w:t>
            </w:r>
            <w:r w:rsidRPr="00A20A17">
              <w:rPr>
                <w:rFonts w:ascii="Calibri" w:eastAsia="Calibri" w:hAnsi="Calibri" w:cs="Arial"/>
                <w:sz w:val="18"/>
                <w:szCs w:val="18"/>
              </w:rPr>
              <w:fldChar w:fldCharType="end"/>
            </w:r>
            <w:r w:rsidRPr="00A20A17">
              <w:rPr>
                <w:rFonts w:ascii="Calibri" w:eastAsia="Calibri" w:hAnsi="Calibri" w:cs="Arial"/>
                <w:sz w:val="18"/>
                <w:szCs w:val="18"/>
              </w:rPr>
              <w:t>.</w:t>
            </w:r>
          </w:p>
        </w:tc>
        <w:tc>
          <w:tcPr>
            <w:tcW w:w="0" w:type="auto"/>
          </w:tcPr>
          <w:p w14:paraId="774629E3" w14:textId="77777777" w:rsidR="00FE37DB" w:rsidRPr="00A20A17" w:rsidRDefault="00FE37DB" w:rsidP="00A80B48">
            <w:pPr>
              <w:spacing w:before="60" w:after="60" w:line="240" w:lineRule="auto"/>
              <w:jc w:val="right"/>
              <w:rPr>
                <w:rFonts w:ascii="Calibri" w:eastAsia="Calibri" w:hAnsi="Calibri" w:cs="Arial"/>
                <w:sz w:val="18"/>
                <w:szCs w:val="18"/>
              </w:rPr>
            </w:pPr>
            <w:r w:rsidRPr="00A20A17">
              <w:rPr>
                <w:rFonts w:ascii="Calibri" w:eastAsia="Calibri" w:hAnsi="Calibri" w:cs="Arial"/>
                <w:sz w:val="18"/>
                <w:szCs w:val="18"/>
              </w:rPr>
              <w:t>-3</w:t>
            </w:r>
          </w:p>
        </w:tc>
      </w:tr>
      <w:tr w:rsidR="00FE37DB" w:rsidRPr="00A20A17" w14:paraId="0AB5E7AC" w14:textId="77777777" w:rsidTr="00A80B48">
        <w:tc>
          <w:tcPr>
            <w:tcW w:w="0" w:type="auto"/>
            <w:shd w:val="clear" w:color="auto" w:fill="auto"/>
          </w:tcPr>
          <w:p w14:paraId="7F2B3712" w14:textId="77777777" w:rsidR="00FE37DB" w:rsidRPr="00A20A17" w:rsidRDefault="00FE37DB" w:rsidP="00A80B48">
            <w:pPr>
              <w:numPr>
                <w:ilvl w:val="0"/>
                <w:numId w:val="9"/>
              </w:numPr>
              <w:spacing w:before="60" w:after="60" w:line="240" w:lineRule="auto"/>
              <w:rPr>
                <w:rFonts w:ascii="Calibri" w:eastAsia="Calibri" w:hAnsi="Calibri" w:cs="Arial"/>
                <w:sz w:val="18"/>
                <w:szCs w:val="18"/>
              </w:rPr>
            </w:pPr>
            <w:r w:rsidRPr="00A20A17">
              <w:rPr>
                <w:rFonts w:ascii="Calibri" w:eastAsia="Calibri" w:hAnsi="Calibri" w:cs="Arial"/>
                <w:sz w:val="18"/>
                <w:szCs w:val="18"/>
              </w:rPr>
              <w:t xml:space="preserve">Increased costs of care (by 25%) to account for the increased risk of recurrent events compared to the general population. </w:t>
            </w:r>
          </w:p>
        </w:tc>
        <w:tc>
          <w:tcPr>
            <w:tcW w:w="0" w:type="auto"/>
          </w:tcPr>
          <w:p w14:paraId="37EC98FD" w14:textId="77777777" w:rsidR="00FE37DB" w:rsidRPr="00A20A17" w:rsidRDefault="00FE37DB" w:rsidP="00A80B48">
            <w:pPr>
              <w:spacing w:before="60" w:after="60" w:line="240" w:lineRule="auto"/>
              <w:jc w:val="right"/>
              <w:rPr>
                <w:rFonts w:ascii="Calibri" w:eastAsia="Calibri" w:hAnsi="Calibri" w:cs="Arial"/>
                <w:sz w:val="18"/>
                <w:szCs w:val="18"/>
              </w:rPr>
            </w:pPr>
            <w:r w:rsidRPr="00A20A17">
              <w:rPr>
                <w:rFonts w:ascii="Calibri" w:eastAsia="Calibri" w:hAnsi="Calibri" w:cs="Arial"/>
                <w:sz w:val="18"/>
                <w:szCs w:val="18"/>
              </w:rPr>
              <w:t>3</w:t>
            </w:r>
          </w:p>
        </w:tc>
      </w:tr>
      <w:tr w:rsidR="00FE37DB" w:rsidRPr="00A20A17" w14:paraId="43C53015" w14:textId="77777777" w:rsidTr="00A80B48">
        <w:tc>
          <w:tcPr>
            <w:tcW w:w="0" w:type="auto"/>
          </w:tcPr>
          <w:p w14:paraId="7F856914" w14:textId="77777777" w:rsidR="00FE37DB" w:rsidRPr="00A20A17" w:rsidRDefault="00FE37DB" w:rsidP="00A80B48">
            <w:pPr>
              <w:numPr>
                <w:ilvl w:val="0"/>
                <w:numId w:val="9"/>
              </w:numPr>
              <w:spacing w:before="60" w:after="60" w:line="240" w:lineRule="auto"/>
              <w:rPr>
                <w:rFonts w:ascii="Calibri" w:eastAsia="Calibri" w:hAnsi="Calibri" w:cs="Arial"/>
                <w:sz w:val="18"/>
                <w:szCs w:val="18"/>
              </w:rPr>
            </w:pPr>
            <w:r w:rsidRPr="00A20A17">
              <w:rPr>
                <w:rFonts w:ascii="Calibri" w:eastAsia="Calibri" w:hAnsi="Calibri" w:cs="Arial"/>
                <w:sz w:val="18"/>
                <w:szCs w:val="18"/>
              </w:rPr>
              <w:t xml:space="preserve">We obtain the weights from Ara et al, given that these were used for TA393 </w:t>
            </w:r>
            <w:r w:rsidRPr="00A20A17">
              <w:rPr>
                <w:rFonts w:ascii="Calibri" w:eastAsia="Calibri" w:hAnsi="Calibri" w:cs="Arial"/>
                <w:sz w:val="18"/>
                <w:szCs w:val="18"/>
              </w:rPr>
              <w:fldChar w:fldCharType="begin">
                <w:fldData xml:space="preserve">PEVuZE5vdGU+PENpdGU+PEF1dGhvcj5BcmE8L0F1dGhvcj48WWVhcj4yMDEwPC9ZZWFyPjxJRFRl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</w:fldData>
              </w:fldChar>
            </w:r>
            <w:r w:rsidRPr="00A20A17">
              <w:rPr>
                <w:rFonts w:ascii="Calibri" w:eastAsia="Calibri" w:hAnsi="Calibri" w:cs="Arial"/>
                <w:sz w:val="18"/>
                <w:szCs w:val="18"/>
              </w:rPr>
              <w:instrText xml:space="preserve"> ADDIN EN.CITE </w:instrText>
            </w:r>
            <w:r w:rsidRPr="00A20A17">
              <w:rPr>
                <w:rFonts w:ascii="Calibri" w:eastAsia="Calibri" w:hAnsi="Calibri" w:cs="Arial"/>
                <w:sz w:val="18"/>
                <w:szCs w:val="18"/>
              </w:rPr>
              <w:fldChar w:fldCharType="begin">
                <w:fldData xml:space="preserve">PEVuZE5vdGU+PENpdGU+PEF1dGhvcj5BcmE8L0F1dGhvcj48WWVhcj4yMDEwPC9ZZWFyPjxJRFRl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</w:fldData>
              </w:fldChar>
            </w:r>
            <w:r w:rsidRPr="00A20A17">
              <w:rPr>
                <w:rFonts w:ascii="Calibri" w:eastAsia="Calibri" w:hAnsi="Calibri" w:cs="Arial"/>
                <w:sz w:val="18"/>
                <w:szCs w:val="18"/>
              </w:rPr>
              <w:instrText xml:space="preserve"> ADDIN EN.CITE.DATA </w:instrText>
            </w:r>
            <w:r w:rsidRPr="00A20A17">
              <w:rPr>
                <w:rFonts w:ascii="Calibri" w:eastAsia="Calibri" w:hAnsi="Calibri" w:cs="Arial"/>
                <w:sz w:val="18"/>
                <w:szCs w:val="18"/>
              </w:rPr>
            </w:r>
            <w:r w:rsidRPr="00A20A17">
              <w:rPr>
                <w:rFonts w:ascii="Calibri" w:eastAsia="Calibri" w:hAnsi="Calibri" w:cs="Arial"/>
                <w:sz w:val="18"/>
                <w:szCs w:val="18"/>
              </w:rPr>
              <w:fldChar w:fldCharType="end"/>
            </w:r>
            <w:r w:rsidRPr="00A20A17">
              <w:rPr>
                <w:rFonts w:ascii="Calibri" w:eastAsia="Calibri" w:hAnsi="Calibri" w:cs="Arial"/>
                <w:sz w:val="18"/>
                <w:szCs w:val="18"/>
              </w:rPr>
            </w:r>
            <w:r w:rsidRPr="00A20A17">
              <w:rPr>
                <w:rFonts w:ascii="Calibri" w:eastAsia="Calibri" w:hAnsi="Calibri" w:cs="Arial"/>
                <w:sz w:val="18"/>
                <w:szCs w:val="18"/>
              </w:rPr>
              <w:fldChar w:fldCharType="separate"/>
            </w:r>
            <w:r w:rsidRPr="00A20A17">
              <w:rPr>
                <w:rFonts w:ascii="Calibri" w:eastAsia="Calibri" w:hAnsi="Calibri" w:cs="Arial"/>
                <w:noProof/>
                <w:sz w:val="18"/>
                <w:szCs w:val="18"/>
                <w:vertAlign w:val="superscript"/>
              </w:rPr>
              <w:t>13,30</w:t>
            </w:r>
            <w:r w:rsidRPr="00A20A17">
              <w:rPr>
                <w:rFonts w:ascii="Calibri" w:eastAsia="Calibri" w:hAnsi="Calibri" w:cs="Arial"/>
                <w:sz w:val="18"/>
                <w:szCs w:val="18"/>
              </w:rPr>
              <w:fldChar w:fldCharType="end"/>
            </w:r>
            <w:r w:rsidRPr="00A20A17">
              <w:rPr>
                <w:rFonts w:ascii="Calibri" w:eastAsia="Calibri" w:hAnsi="Calibri" w:cs="Arial"/>
                <w:sz w:val="18"/>
                <w:szCs w:val="18"/>
              </w:rPr>
              <w:t>.</w:t>
            </w:r>
          </w:p>
        </w:tc>
        <w:tc>
          <w:tcPr>
            <w:tcW w:w="0" w:type="auto"/>
          </w:tcPr>
          <w:p w14:paraId="3C1D1BED" w14:textId="77777777" w:rsidR="00FE37DB" w:rsidRPr="00A20A17" w:rsidRDefault="00FE37DB" w:rsidP="00A80B48">
            <w:pPr>
              <w:spacing w:before="60" w:after="60" w:line="240" w:lineRule="auto"/>
              <w:jc w:val="right"/>
              <w:rPr>
                <w:rFonts w:ascii="Calibri" w:eastAsia="Calibri" w:hAnsi="Calibri" w:cs="Arial"/>
                <w:sz w:val="18"/>
                <w:szCs w:val="18"/>
              </w:rPr>
            </w:pPr>
            <w:r w:rsidRPr="00A20A17">
              <w:rPr>
                <w:rFonts w:ascii="Calibri" w:eastAsia="Calibri" w:hAnsi="Calibri" w:cs="Arial"/>
                <w:sz w:val="18"/>
                <w:szCs w:val="18"/>
              </w:rPr>
              <w:t>1</w:t>
            </w:r>
          </w:p>
        </w:tc>
      </w:tr>
      <w:tr w:rsidR="00FE37DB" w:rsidRPr="00A20A17" w14:paraId="6C6F64B8" w14:textId="77777777" w:rsidTr="00A80B48">
        <w:tc>
          <w:tcPr>
            <w:tcW w:w="0" w:type="auto"/>
            <w:gridSpan w:val="2"/>
          </w:tcPr>
          <w:p w14:paraId="7ED27F6D" w14:textId="77777777" w:rsidR="00FE37DB" w:rsidRPr="00A20A17" w:rsidRDefault="00FE37DB" w:rsidP="00A80B48">
            <w:pPr>
              <w:spacing w:before="60" w:after="60" w:line="240" w:lineRule="auto"/>
              <w:rPr>
                <w:rFonts w:ascii="Calibri" w:eastAsia="Calibri" w:hAnsi="Calibri" w:cs="Arial"/>
                <w:sz w:val="18"/>
                <w:szCs w:val="18"/>
              </w:rPr>
            </w:pPr>
            <w:r w:rsidRPr="00A20A17">
              <w:rPr>
                <w:rFonts w:ascii="Calibri" w:eastAsia="Calibri" w:hAnsi="Calibri" w:cs="Arial"/>
                <w:sz w:val="18"/>
                <w:szCs w:val="18"/>
              </w:rPr>
              <w:t>CG71: Clinical Guideline 71. CG181: Clinical Guideline 181. CPRD: Clinical Practice Research Datalink. CTTC: Cholesterol Treatment Trialists’ Collaboration. CV: Cardiovascular. EAS: European Atherosclerosis Society. FH: Familial Hypercholesterolaemia. LDLC: Low Density Lipoprotein Cholesterol. LLT: Lipid Lowering Treatment. NICE: National Institute for Health and Care Excellence. TA393: Technology Appraisal 393.</w:t>
            </w:r>
          </w:p>
        </w:tc>
      </w:tr>
    </w:tbl>
    <w:p w14:paraId="0877C4E2" w14:textId="77777777" w:rsidR="00FE37DB" w:rsidRPr="00A20A17" w:rsidRDefault="00FE37DB" w:rsidP="00FE37DB">
      <w:pPr>
        <w:spacing w:before="120" w:after="120"/>
        <w:rPr>
          <w:rFonts w:ascii="Calibri" w:eastAsia="Calibri" w:hAnsi="Calibri" w:cs="Arial"/>
        </w:rPr>
      </w:pPr>
    </w:p>
    <w:p w14:paraId="75C8C413" w14:textId="77777777" w:rsidR="00FE37DB" w:rsidRPr="00A20A17" w:rsidRDefault="00FE37DB" w:rsidP="00FE37DB">
      <w:pPr>
        <w:keepNext/>
        <w:keepLines/>
        <w:spacing w:before="240" w:after="120"/>
        <w:outlineLvl w:val="1"/>
        <w:rPr>
          <w:rFonts w:ascii="Calibri Light" w:eastAsia="Calibri Light" w:hAnsi="Calibri Light" w:cs="Times New Roman"/>
          <w:color w:val="2F5496"/>
          <w:sz w:val="26"/>
          <w:szCs w:val="26"/>
        </w:rPr>
      </w:pPr>
      <w:bookmarkStart w:id="35" w:name="_Toc73625988"/>
      <w:bookmarkEnd w:id="33"/>
      <w:r w:rsidRPr="00A20A17">
        <w:rPr>
          <w:rFonts w:ascii="Calibri Light" w:eastAsia="Calibri Light" w:hAnsi="Calibri Light" w:cs="Times New Roman"/>
          <w:color w:val="2F5496"/>
          <w:sz w:val="26"/>
          <w:szCs w:val="26"/>
        </w:rPr>
        <w:t>Expected value of perfect information</w:t>
      </w:r>
      <w:bookmarkEnd w:id="35"/>
    </w:p>
    <w:p w14:paraId="32171306" w14:textId="77777777" w:rsidR="00FE37DB" w:rsidRPr="00A20A17" w:rsidRDefault="00FE37DB" w:rsidP="00FE37DB">
      <w:pPr>
        <w:keepNext/>
        <w:spacing w:before="120" w:after="120"/>
        <w:rPr>
          <w:rFonts w:ascii="Calibri" w:eastAsia="Calibri" w:hAnsi="Calibri" w:cs="Arial"/>
        </w:rPr>
      </w:pPr>
      <w:r w:rsidRPr="00A20A17">
        <w:rPr>
          <w:rFonts w:ascii="Calibri" w:eastAsia="Calibri" w:hAnsi="Calibri" w:cs="Arial"/>
          <w:noProof/>
          <w:lang w:eastAsia="en-GB"/>
        </w:rPr>
        <w:drawing>
          <wp:inline distT="0" distB="0" distL="0" distR="0" wp14:anchorId="5F2792DB" wp14:editId="0C39D133">
            <wp:extent cx="5739130" cy="2854679"/>
            <wp:effectExtent l="0" t="0" r="0" b="3175"/>
            <wp:docPr id="31" name="Picture 31"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 histogram&#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51540" cy="2860852"/>
                    </a:xfrm>
                    <a:prstGeom prst="rect">
                      <a:avLst/>
                    </a:prstGeom>
                    <a:noFill/>
                  </pic:spPr>
                </pic:pic>
              </a:graphicData>
            </a:graphic>
          </wp:inline>
        </w:drawing>
      </w:r>
    </w:p>
    <w:p w14:paraId="3A41AC6A" w14:textId="77777777" w:rsidR="00FE37DB" w:rsidRPr="00A20A17" w:rsidRDefault="00FE37DB" w:rsidP="00FE37DB">
      <w:pPr>
        <w:keepNext/>
        <w:spacing w:before="120" w:after="120"/>
        <w:rPr>
          <w:rFonts w:ascii="Calibri" w:eastAsia="Calibri" w:hAnsi="Calibri" w:cs="Arial"/>
        </w:rPr>
      </w:pPr>
      <w:r w:rsidRPr="00A20A17">
        <w:rPr>
          <w:rFonts w:ascii="Calibri" w:eastAsia="Calibri" w:hAnsi="Calibri" w:cs="Arial"/>
        </w:rPr>
        <w:t>Figure 10A: Expected value of perfect information in males</w:t>
      </w:r>
    </w:p>
    <w:p w14:paraId="0480332E" w14:textId="77777777" w:rsidR="00FE37DB" w:rsidRPr="00A20A17" w:rsidRDefault="00FE37DB" w:rsidP="00FE37DB">
      <w:pPr>
        <w:keepNext/>
        <w:spacing w:before="120" w:after="120"/>
        <w:rPr>
          <w:rFonts w:ascii="Calibri" w:eastAsia="Calibri" w:hAnsi="Calibri" w:cs="Arial"/>
        </w:rPr>
      </w:pPr>
      <w:r w:rsidRPr="00A20A17">
        <w:rPr>
          <w:rFonts w:ascii="Calibri" w:eastAsia="Calibri" w:hAnsi="Calibri" w:cs="Arial"/>
          <w:noProof/>
          <w:lang w:eastAsia="en-GB"/>
        </w:rPr>
        <w:drawing>
          <wp:inline distT="0" distB="0" distL="0" distR="0" wp14:anchorId="211B4BC0" wp14:editId="2F35BD66">
            <wp:extent cx="5491480" cy="2731496"/>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511784" cy="2741595"/>
                    </a:xfrm>
                    <a:prstGeom prst="rect">
                      <a:avLst/>
                    </a:prstGeom>
                    <a:noFill/>
                  </pic:spPr>
                </pic:pic>
              </a:graphicData>
            </a:graphic>
          </wp:inline>
        </w:drawing>
      </w:r>
    </w:p>
    <w:p w14:paraId="453828ED" w14:textId="77777777" w:rsidR="00FE37DB" w:rsidRPr="00A20A17" w:rsidRDefault="00FE37DB" w:rsidP="00FE37DB">
      <w:pPr>
        <w:keepNext/>
        <w:spacing w:before="120" w:after="120"/>
        <w:rPr>
          <w:rFonts w:ascii="Calibri" w:eastAsia="Calibri" w:hAnsi="Calibri" w:cs="Arial"/>
        </w:rPr>
      </w:pPr>
      <w:r w:rsidRPr="00A20A17">
        <w:rPr>
          <w:rFonts w:ascii="Calibri" w:eastAsia="Calibri" w:hAnsi="Calibri" w:cs="Arial"/>
        </w:rPr>
        <w:t>Figure 10B: Expected value of perfect information in females</w:t>
      </w:r>
    </w:p>
    <w:p w14:paraId="1686F54D" w14:textId="77777777" w:rsidR="00FE37DB" w:rsidRPr="00A20A17" w:rsidRDefault="00FE37DB" w:rsidP="00FE37DB">
      <w:pPr>
        <w:spacing w:before="120"/>
        <w:rPr>
          <w:rFonts w:ascii="Calibri" w:eastAsia="Calibri" w:hAnsi="Calibri" w:cs="Arial"/>
          <w:i/>
          <w:iCs/>
          <w:color w:val="44546A"/>
          <w:sz w:val="18"/>
          <w:szCs w:val="18"/>
        </w:rPr>
      </w:pPr>
      <w:r w:rsidRPr="00A20A17">
        <w:rPr>
          <w:rFonts w:ascii="Calibri" w:eastAsia="Calibri" w:hAnsi="Calibri" w:cs="Arial"/>
          <w:i/>
          <w:iCs/>
          <w:color w:val="44546A"/>
          <w:sz w:val="18"/>
          <w:szCs w:val="18"/>
        </w:rPr>
        <w:t xml:space="preserve">Figure </w:t>
      </w:r>
      <w:r w:rsidRPr="00A20A17">
        <w:rPr>
          <w:rFonts w:ascii="Calibri" w:eastAsia="Calibri" w:hAnsi="Calibri" w:cs="Arial"/>
          <w:i/>
          <w:iCs/>
          <w:color w:val="44546A"/>
          <w:sz w:val="18"/>
          <w:szCs w:val="18"/>
        </w:rPr>
        <w:fldChar w:fldCharType="begin"/>
      </w:r>
      <w:r w:rsidRPr="00A20A17">
        <w:rPr>
          <w:rFonts w:ascii="Calibri" w:eastAsia="Calibri" w:hAnsi="Calibri" w:cs="Arial"/>
          <w:i/>
          <w:iCs/>
          <w:color w:val="44546A"/>
          <w:sz w:val="18"/>
          <w:szCs w:val="18"/>
        </w:rPr>
        <w:instrText>SEQ Figure \* ARABIC</w:instrText>
      </w:r>
      <w:r w:rsidRPr="00A20A17">
        <w:rPr>
          <w:rFonts w:ascii="Calibri" w:eastAsia="Calibri" w:hAnsi="Calibri" w:cs="Arial"/>
          <w:i/>
          <w:iCs/>
          <w:color w:val="44546A"/>
          <w:sz w:val="18"/>
          <w:szCs w:val="18"/>
        </w:rPr>
        <w:fldChar w:fldCharType="separate"/>
      </w:r>
      <w:r w:rsidRPr="00A20A17">
        <w:rPr>
          <w:rFonts w:ascii="Calibri" w:eastAsia="Calibri" w:hAnsi="Calibri" w:cs="Arial"/>
          <w:i/>
          <w:iCs/>
          <w:noProof/>
          <w:color w:val="44546A"/>
          <w:sz w:val="18"/>
          <w:szCs w:val="18"/>
        </w:rPr>
        <w:t>10</w:t>
      </w:r>
      <w:r w:rsidRPr="00A20A17">
        <w:rPr>
          <w:rFonts w:ascii="Calibri" w:eastAsia="Calibri" w:hAnsi="Calibri" w:cs="Arial"/>
          <w:i/>
          <w:iCs/>
          <w:color w:val="44546A"/>
          <w:sz w:val="18"/>
          <w:szCs w:val="18"/>
        </w:rPr>
        <w:fldChar w:fldCharType="end"/>
      </w:r>
      <w:r w:rsidRPr="00A20A17">
        <w:rPr>
          <w:rFonts w:ascii="Calibri" w:eastAsia="Calibri" w:hAnsi="Calibri" w:cs="Arial"/>
          <w:i/>
          <w:iCs/>
          <w:color w:val="44546A"/>
          <w:sz w:val="18"/>
          <w:szCs w:val="18"/>
        </w:rPr>
        <w:t>: Expected value of perfect information per individual, at the cost-effectiveness threshold of £15,000/QALY</w:t>
      </w:r>
    </w:p>
    <w:p w14:paraId="527D3F59" w14:textId="77777777" w:rsidR="00FE37DB" w:rsidRPr="00A20A17" w:rsidRDefault="00FE37DB" w:rsidP="00FE37DB">
      <w:pPr>
        <w:keepNext/>
        <w:keepLines/>
        <w:numPr>
          <w:ilvl w:val="0"/>
          <w:numId w:val="6"/>
        </w:numPr>
        <w:spacing w:before="240" w:after="240"/>
        <w:ind w:left="0" w:firstLine="0"/>
        <w:outlineLvl w:val="0"/>
        <w:rPr>
          <w:rFonts w:ascii="Calibri Light" w:eastAsia="Calibri Light" w:hAnsi="Calibri Light" w:cs="Times New Roman"/>
          <w:color w:val="2F5496"/>
          <w:sz w:val="32"/>
          <w:szCs w:val="32"/>
        </w:rPr>
      </w:pPr>
      <w:bookmarkStart w:id="36" w:name="_Toc73625989"/>
      <w:r w:rsidRPr="00A20A17">
        <w:rPr>
          <w:rFonts w:ascii="Calibri Light" w:eastAsia="Calibri Light" w:hAnsi="Calibri Light" w:cs="Times New Roman"/>
          <w:color w:val="2F5496"/>
          <w:sz w:val="32"/>
          <w:szCs w:val="32"/>
        </w:rPr>
        <w:t>References</w:t>
      </w:r>
      <w:bookmarkEnd w:id="36"/>
      <w:r w:rsidRPr="00A20A17">
        <w:rPr>
          <w:rFonts w:ascii="Calibri Light" w:eastAsia="Calibri Light" w:hAnsi="Calibri Light" w:cs="Times New Roman"/>
          <w:color w:val="2F5496"/>
          <w:sz w:val="32"/>
          <w:szCs w:val="32"/>
        </w:rPr>
        <w:t xml:space="preserve"> </w:t>
      </w:r>
    </w:p>
    <w:p w14:paraId="29F411E6" w14:textId="77777777" w:rsidR="00FE37DB" w:rsidRPr="00A20A17" w:rsidRDefault="00FE37DB" w:rsidP="00FE37DB">
      <w:pPr>
        <w:spacing w:before="120" w:after="120"/>
        <w:rPr>
          <w:rFonts w:ascii="Calibri" w:eastAsia="Calibri" w:hAnsi="Calibri" w:cs="Arial"/>
        </w:rPr>
      </w:pPr>
      <w:r w:rsidRPr="00A20A17">
        <w:rPr>
          <w:rFonts w:ascii="Calibri" w:eastAsia="Calibri" w:hAnsi="Calibri" w:cs="Arial"/>
        </w:rPr>
        <w:fldChar w:fldCharType="begin"/>
      </w:r>
      <w:r w:rsidRPr="00A20A17">
        <w:rPr>
          <w:rFonts w:ascii="Calibri" w:eastAsia="Calibri" w:hAnsi="Calibri" w:cs="Arial"/>
        </w:rPr>
        <w:instrText xml:space="preserve"> ADDIN EN.REFLIST </w:instrText>
      </w:r>
      <w:r w:rsidRPr="00A20A17">
        <w:rPr>
          <w:rFonts w:ascii="Calibri" w:eastAsia="Calibri" w:hAnsi="Calibri" w:cs="Arial"/>
        </w:rPr>
        <w:fldChar w:fldCharType="separate"/>
      </w:r>
      <w:r w:rsidRPr="00A20A17">
        <w:rPr>
          <w:rFonts w:ascii="Calibri" w:eastAsia="Calibri" w:hAnsi="Calibri" w:cs="Arial"/>
        </w:rPr>
        <w:t>1</w:t>
      </w:r>
      <w:r w:rsidRPr="00A20A17">
        <w:rPr>
          <w:rFonts w:ascii="Calibri" w:eastAsia="Calibri" w:hAnsi="Calibri" w:cs="Arial"/>
        </w:rPr>
        <w:tab/>
        <w:t>Hovland, A.</w:t>
      </w:r>
      <w:r w:rsidRPr="00A20A17">
        <w:rPr>
          <w:rFonts w:ascii="Calibri" w:eastAsia="Calibri" w:hAnsi="Calibri" w:cs="Arial"/>
          <w:i/>
        </w:rPr>
        <w:t xml:space="preserve"> et al.</w:t>
      </w:r>
      <w:r w:rsidRPr="00A20A17">
        <w:rPr>
          <w:rFonts w:ascii="Calibri" w:eastAsia="Calibri" w:hAnsi="Calibri" w:cs="Arial"/>
        </w:rPr>
        <w:t xml:space="preserve"> Increased risk of heart failure and atrial fibrillation in heterozygous familial hypercholesterolemia. </w:t>
      </w:r>
      <w:r w:rsidRPr="00A20A17">
        <w:rPr>
          <w:rFonts w:ascii="Calibri" w:eastAsia="Calibri" w:hAnsi="Calibri" w:cs="Arial"/>
          <w:i/>
        </w:rPr>
        <w:t>Atherosclerosis</w:t>
      </w:r>
      <w:r w:rsidRPr="00A20A17">
        <w:rPr>
          <w:rFonts w:ascii="Calibri" w:eastAsia="Calibri" w:hAnsi="Calibri" w:cs="Arial"/>
        </w:rPr>
        <w:t xml:space="preserve"> </w:t>
      </w:r>
      <w:r w:rsidRPr="00A20A17">
        <w:rPr>
          <w:rFonts w:ascii="Calibri" w:eastAsia="Calibri" w:hAnsi="Calibri" w:cs="Arial"/>
          <w:b/>
        </w:rPr>
        <w:t>266</w:t>
      </w:r>
      <w:r w:rsidRPr="00A20A17">
        <w:rPr>
          <w:rFonts w:ascii="Calibri" w:eastAsia="Calibri" w:hAnsi="Calibri" w:cs="Arial"/>
        </w:rPr>
        <w:t>, 69-73, doi:10.1016/j.atherosclerosis.2017.09.027 (2017).</w:t>
      </w:r>
    </w:p>
    <w:p w14:paraId="135F72DC" w14:textId="77777777" w:rsidR="00FE37DB" w:rsidRPr="00A20A17" w:rsidRDefault="00FE37DB" w:rsidP="00FE37DB">
      <w:pPr>
        <w:spacing w:before="120" w:after="120"/>
        <w:rPr>
          <w:rFonts w:ascii="Calibri" w:eastAsia="Calibri" w:hAnsi="Calibri" w:cs="Arial"/>
          <w:lang w:val="pt-PT"/>
        </w:rPr>
      </w:pPr>
      <w:r w:rsidRPr="00A20A17">
        <w:rPr>
          <w:rFonts w:ascii="Calibri" w:eastAsia="Calibri" w:hAnsi="Calibri" w:cs="Arial"/>
        </w:rPr>
        <w:t>2</w:t>
      </w:r>
      <w:r w:rsidRPr="00A20A17">
        <w:rPr>
          <w:rFonts w:ascii="Calibri" w:eastAsia="Calibri" w:hAnsi="Calibri" w:cs="Arial"/>
        </w:rPr>
        <w:tab/>
        <w:t>Chacko, L.</w:t>
      </w:r>
      <w:r w:rsidRPr="00A20A17">
        <w:rPr>
          <w:rFonts w:ascii="Calibri" w:eastAsia="Calibri" w:hAnsi="Calibri" w:cs="Arial"/>
          <w:i/>
        </w:rPr>
        <w:t xml:space="preserve"> et al.</w:t>
      </w:r>
      <w:r w:rsidRPr="00A20A17">
        <w:rPr>
          <w:rFonts w:ascii="Calibri" w:eastAsia="Calibri" w:hAnsi="Calibri" w:cs="Arial"/>
        </w:rPr>
        <w:t xml:space="preserve"> Effects of Percutaneous Coronary Intervention on Death and Myocardial Infarction Stratified by Stable and Unstable Coronary Artery Disease: A Meta-Analysis of Randomized Controlled Trials. </w:t>
      </w:r>
      <w:r w:rsidRPr="00A20A17">
        <w:rPr>
          <w:rFonts w:ascii="Calibri" w:eastAsia="Calibri" w:hAnsi="Calibri" w:cs="Arial"/>
          <w:i/>
          <w:lang w:val="pt-PT"/>
        </w:rPr>
        <w:t>Circ Cardiovasc Qual Outcomes</w:t>
      </w:r>
      <w:r w:rsidRPr="00A20A17">
        <w:rPr>
          <w:rFonts w:ascii="Calibri" w:eastAsia="Calibri" w:hAnsi="Calibri" w:cs="Arial"/>
          <w:lang w:val="pt-PT"/>
        </w:rPr>
        <w:t xml:space="preserve"> </w:t>
      </w:r>
      <w:r w:rsidRPr="00A20A17">
        <w:rPr>
          <w:rFonts w:ascii="Calibri" w:eastAsia="Calibri" w:hAnsi="Calibri" w:cs="Arial"/>
          <w:b/>
          <w:lang w:val="pt-PT"/>
        </w:rPr>
        <w:t>13</w:t>
      </w:r>
      <w:r w:rsidRPr="00A20A17">
        <w:rPr>
          <w:rFonts w:ascii="Calibri" w:eastAsia="Calibri" w:hAnsi="Calibri" w:cs="Arial"/>
          <w:lang w:val="pt-PT"/>
        </w:rPr>
        <w:t>, e006363, doi:10.1161/CIRCOUTCOMES.119.006363 (2020).</w:t>
      </w:r>
    </w:p>
    <w:p w14:paraId="4FC60E47" w14:textId="77777777" w:rsidR="00FE37DB" w:rsidRPr="00A20A17" w:rsidRDefault="00FE37DB" w:rsidP="00FE37DB">
      <w:pPr>
        <w:spacing w:before="120" w:after="120"/>
        <w:rPr>
          <w:rFonts w:ascii="Calibri" w:eastAsia="Calibri" w:hAnsi="Calibri" w:cs="Arial"/>
        </w:rPr>
      </w:pPr>
      <w:r w:rsidRPr="00A20A17">
        <w:rPr>
          <w:rFonts w:ascii="Calibri" w:eastAsia="Calibri" w:hAnsi="Calibri" w:cs="Arial"/>
          <w:lang w:val="pt-PT"/>
        </w:rPr>
        <w:t>3</w:t>
      </w:r>
      <w:r w:rsidRPr="00A20A17">
        <w:rPr>
          <w:rFonts w:ascii="Calibri" w:eastAsia="Calibri" w:hAnsi="Calibri" w:cs="Arial"/>
          <w:lang w:val="pt-PT"/>
        </w:rPr>
        <w:tab/>
        <w:t>Stergiopoulos, K.</w:t>
      </w:r>
      <w:r w:rsidRPr="00A20A17">
        <w:rPr>
          <w:rFonts w:ascii="Calibri" w:eastAsia="Calibri" w:hAnsi="Calibri" w:cs="Arial"/>
          <w:i/>
          <w:lang w:val="pt-PT"/>
        </w:rPr>
        <w:t xml:space="preserve"> et al.</w:t>
      </w:r>
      <w:r w:rsidRPr="00A20A17">
        <w:rPr>
          <w:rFonts w:ascii="Calibri" w:eastAsia="Calibri" w:hAnsi="Calibri" w:cs="Arial"/>
          <w:lang w:val="pt-PT"/>
        </w:rPr>
        <w:t xml:space="preserve"> </w:t>
      </w:r>
      <w:r w:rsidRPr="00A20A17">
        <w:rPr>
          <w:rFonts w:ascii="Calibri" w:eastAsia="Calibri" w:hAnsi="Calibri" w:cs="Arial"/>
        </w:rPr>
        <w:t xml:space="preserve">Percutaneous coronary intervention outcomes in patients with stable obstructive coronary artery disease and myocardial ischemia: a collaborative meta-analysis of contemporary randomized clinical trials. </w:t>
      </w:r>
      <w:r w:rsidRPr="00A20A17">
        <w:rPr>
          <w:rFonts w:ascii="Calibri" w:eastAsia="Calibri" w:hAnsi="Calibri" w:cs="Arial"/>
          <w:i/>
        </w:rPr>
        <w:t>JAMA Intern Med</w:t>
      </w:r>
      <w:r w:rsidRPr="00A20A17">
        <w:rPr>
          <w:rFonts w:ascii="Calibri" w:eastAsia="Calibri" w:hAnsi="Calibri" w:cs="Arial"/>
        </w:rPr>
        <w:t xml:space="preserve"> </w:t>
      </w:r>
      <w:r w:rsidRPr="00A20A17">
        <w:rPr>
          <w:rFonts w:ascii="Calibri" w:eastAsia="Calibri" w:hAnsi="Calibri" w:cs="Arial"/>
          <w:b/>
        </w:rPr>
        <w:t>174</w:t>
      </w:r>
      <w:r w:rsidRPr="00A20A17">
        <w:rPr>
          <w:rFonts w:ascii="Calibri" w:eastAsia="Calibri" w:hAnsi="Calibri" w:cs="Arial"/>
        </w:rPr>
        <w:t>, 232-240, doi:10.1001/jamainternmed.2013.12855 (2014).</w:t>
      </w:r>
    </w:p>
    <w:p w14:paraId="7C1EA802" w14:textId="77777777" w:rsidR="00FE37DB" w:rsidRPr="00A20A17" w:rsidRDefault="00FE37DB" w:rsidP="00FE37DB">
      <w:pPr>
        <w:spacing w:before="120" w:after="120"/>
        <w:rPr>
          <w:rFonts w:ascii="Calibri" w:eastAsia="Calibri" w:hAnsi="Calibri" w:cs="Arial"/>
        </w:rPr>
      </w:pPr>
      <w:r w:rsidRPr="00A20A17">
        <w:rPr>
          <w:rFonts w:ascii="Calibri" w:eastAsia="Calibri" w:hAnsi="Calibri" w:cs="Arial"/>
        </w:rPr>
        <w:t>4</w:t>
      </w:r>
      <w:r w:rsidRPr="00A20A17">
        <w:rPr>
          <w:rFonts w:ascii="Calibri" w:eastAsia="Calibri" w:hAnsi="Calibri" w:cs="Arial"/>
        </w:rPr>
        <w:tab/>
        <w:t xml:space="preserve">Thomas, S., Gokhale, R., Boden, W. E. &amp; Devereaux, P. J. A meta-analysis of randomized controlled trials comparing percutaneous coronary intervention with medical therapy in stable angina pectoris. </w:t>
      </w:r>
      <w:r w:rsidRPr="00A20A17">
        <w:rPr>
          <w:rFonts w:ascii="Calibri" w:eastAsia="Calibri" w:hAnsi="Calibri" w:cs="Arial"/>
          <w:i/>
        </w:rPr>
        <w:t>Can J Cardiol</w:t>
      </w:r>
      <w:r w:rsidRPr="00A20A17">
        <w:rPr>
          <w:rFonts w:ascii="Calibri" w:eastAsia="Calibri" w:hAnsi="Calibri" w:cs="Arial"/>
        </w:rPr>
        <w:t xml:space="preserve"> </w:t>
      </w:r>
      <w:r w:rsidRPr="00A20A17">
        <w:rPr>
          <w:rFonts w:ascii="Calibri" w:eastAsia="Calibri" w:hAnsi="Calibri" w:cs="Arial"/>
          <w:b/>
        </w:rPr>
        <w:t>29</w:t>
      </w:r>
      <w:r w:rsidRPr="00A20A17">
        <w:rPr>
          <w:rFonts w:ascii="Calibri" w:eastAsia="Calibri" w:hAnsi="Calibri" w:cs="Arial"/>
        </w:rPr>
        <w:t>, 472-482, doi:10.1016/j.cjca.2012.07.010 (2013).</w:t>
      </w:r>
    </w:p>
    <w:p w14:paraId="3F205C59" w14:textId="77777777" w:rsidR="00FE37DB" w:rsidRPr="00A20A17" w:rsidRDefault="00FE37DB" w:rsidP="00FE37DB">
      <w:pPr>
        <w:spacing w:before="120" w:after="120"/>
        <w:rPr>
          <w:rFonts w:ascii="Calibri" w:eastAsia="Calibri" w:hAnsi="Calibri" w:cs="Arial"/>
        </w:rPr>
      </w:pPr>
      <w:r w:rsidRPr="00A20A17">
        <w:rPr>
          <w:rFonts w:ascii="Calibri" w:eastAsia="Calibri" w:hAnsi="Calibri" w:cs="Arial"/>
        </w:rPr>
        <w:t>5</w:t>
      </w:r>
      <w:r w:rsidRPr="00A20A17">
        <w:rPr>
          <w:rFonts w:ascii="Calibri" w:eastAsia="Calibri" w:hAnsi="Calibri" w:cs="Arial"/>
        </w:rPr>
        <w:tab/>
        <w:t>Windecker, S.</w:t>
      </w:r>
      <w:r w:rsidRPr="00A20A17">
        <w:rPr>
          <w:rFonts w:ascii="Calibri" w:eastAsia="Calibri" w:hAnsi="Calibri" w:cs="Arial"/>
          <w:i/>
        </w:rPr>
        <w:t xml:space="preserve"> et al.</w:t>
      </w:r>
      <w:r w:rsidRPr="00A20A17">
        <w:rPr>
          <w:rFonts w:ascii="Calibri" w:eastAsia="Calibri" w:hAnsi="Calibri" w:cs="Arial"/>
        </w:rPr>
        <w:t xml:space="preserve"> Revascularisation versus medical treatment in patients with stable coronary artery disease: network meta-analysis. </w:t>
      </w:r>
      <w:r w:rsidRPr="00A20A17">
        <w:rPr>
          <w:rFonts w:ascii="Calibri" w:eastAsia="Calibri" w:hAnsi="Calibri" w:cs="Arial"/>
          <w:i/>
        </w:rPr>
        <w:t>BMJ</w:t>
      </w:r>
      <w:r w:rsidRPr="00A20A17">
        <w:rPr>
          <w:rFonts w:ascii="Calibri" w:eastAsia="Calibri" w:hAnsi="Calibri" w:cs="Arial"/>
        </w:rPr>
        <w:t xml:space="preserve"> </w:t>
      </w:r>
      <w:r w:rsidRPr="00A20A17">
        <w:rPr>
          <w:rFonts w:ascii="Calibri" w:eastAsia="Calibri" w:hAnsi="Calibri" w:cs="Arial"/>
          <w:b/>
        </w:rPr>
        <w:t>348</w:t>
      </w:r>
      <w:r w:rsidRPr="00A20A17">
        <w:rPr>
          <w:rFonts w:ascii="Calibri" w:eastAsia="Calibri" w:hAnsi="Calibri" w:cs="Arial"/>
        </w:rPr>
        <w:t>, g3859, doi:10.1136/bmj.g3859 (2014).</w:t>
      </w:r>
    </w:p>
    <w:p w14:paraId="5783937A" w14:textId="77777777" w:rsidR="00FE37DB" w:rsidRPr="00A20A17" w:rsidRDefault="00FE37DB" w:rsidP="00FE37DB">
      <w:pPr>
        <w:spacing w:before="120" w:after="120"/>
        <w:rPr>
          <w:rFonts w:ascii="Calibri" w:eastAsia="Calibri" w:hAnsi="Calibri" w:cs="Arial"/>
        </w:rPr>
      </w:pPr>
      <w:r w:rsidRPr="00A20A17">
        <w:rPr>
          <w:rFonts w:ascii="Calibri" w:eastAsia="Calibri" w:hAnsi="Calibri" w:cs="Arial"/>
        </w:rPr>
        <w:t>6</w:t>
      </w:r>
      <w:r w:rsidRPr="00A20A17">
        <w:rPr>
          <w:rFonts w:ascii="Calibri" w:eastAsia="Calibri" w:hAnsi="Calibri" w:cs="Arial"/>
        </w:rPr>
        <w:tab/>
        <w:t>NICE. Clinical guideline 71: identification and management of familial hypercholesterolaemia. (NICE, London, Manchester, 2019).</w:t>
      </w:r>
    </w:p>
    <w:p w14:paraId="6DBDA4A8" w14:textId="77777777" w:rsidR="00FE37DB" w:rsidRPr="00A20A17" w:rsidRDefault="00FE37DB" w:rsidP="00FE37DB">
      <w:pPr>
        <w:spacing w:before="120" w:after="120"/>
        <w:rPr>
          <w:rFonts w:ascii="Calibri" w:eastAsia="Calibri" w:hAnsi="Calibri" w:cs="Arial"/>
        </w:rPr>
      </w:pPr>
      <w:r w:rsidRPr="00A20A17">
        <w:rPr>
          <w:rFonts w:ascii="Calibri" w:eastAsia="Calibri" w:hAnsi="Calibri" w:cs="Arial"/>
        </w:rPr>
        <w:t>7</w:t>
      </w:r>
      <w:r w:rsidRPr="00A20A17">
        <w:rPr>
          <w:rFonts w:ascii="Calibri" w:eastAsia="Calibri" w:hAnsi="Calibri" w:cs="Arial"/>
        </w:rPr>
        <w:tab/>
        <w:t>Kazi, D. S.</w:t>
      </w:r>
      <w:r w:rsidRPr="00A20A17">
        <w:rPr>
          <w:rFonts w:ascii="Calibri" w:eastAsia="Calibri" w:hAnsi="Calibri" w:cs="Arial"/>
          <w:i/>
        </w:rPr>
        <w:t xml:space="preserve"> et al.</w:t>
      </w:r>
      <w:r w:rsidRPr="00A20A17">
        <w:rPr>
          <w:rFonts w:ascii="Calibri" w:eastAsia="Calibri" w:hAnsi="Calibri" w:cs="Arial"/>
        </w:rPr>
        <w:t xml:space="preserve"> Cost-effectiveness of PCSK9 Inhibitor Therapy in Patients With Heterozygous Familial Hypercholesterolemia or Atherosclerotic Cardiovascular Disease. </w:t>
      </w:r>
      <w:r w:rsidRPr="00A20A17">
        <w:rPr>
          <w:rFonts w:ascii="Calibri" w:eastAsia="Calibri" w:hAnsi="Calibri" w:cs="Arial"/>
          <w:i/>
        </w:rPr>
        <w:t>JAMA</w:t>
      </w:r>
      <w:r w:rsidRPr="00A20A17">
        <w:rPr>
          <w:rFonts w:ascii="Calibri" w:eastAsia="Calibri" w:hAnsi="Calibri" w:cs="Arial"/>
        </w:rPr>
        <w:t xml:space="preserve"> </w:t>
      </w:r>
      <w:r w:rsidRPr="00A20A17">
        <w:rPr>
          <w:rFonts w:ascii="Calibri" w:eastAsia="Calibri" w:hAnsi="Calibri" w:cs="Arial"/>
          <w:b/>
        </w:rPr>
        <w:t>316</w:t>
      </w:r>
      <w:r w:rsidRPr="00A20A17">
        <w:rPr>
          <w:rFonts w:ascii="Calibri" w:eastAsia="Calibri" w:hAnsi="Calibri" w:cs="Arial"/>
        </w:rPr>
        <w:t>, 743-753, doi:10.1001/jama.2016.11004 (2016).</w:t>
      </w:r>
    </w:p>
    <w:p w14:paraId="1F62AC1B" w14:textId="77777777" w:rsidR="00FE37DB" w:rsidRPr="00A20A17" w:rsidRDefault="00FE37DB" w:rsidP="00FE37DB">
      <w:pPr>
        <w:spacing w:before="120" w:after="120"/>
        <w:rPr>
          <w:rFonts w:ascii="Calibri" w:eastAsia="Calibri" w:hAnsi="Calibri" w:cs="Arial"/>
        </w:rPr>
      </w:pPr>
      <w:r w:rsidRPr="00A20A17">
        <w:rPr>
          <w:rFonts w:ascii="Calibri" w:eastAsia="Calibri" w:hAnsi="Calibri" w:cs="Arial"/>
        </w:rPr>
        <w:t>8</w:t>
      </w:r>
      <w:r w:rsidRPr="00A20A17">
        <w:rPr>
          <w:rFonts w:ascii="Calibri" w:eastAsia="Calibri" w:hAnsi="Calibri" w:cs="Arial"/>
        </w:rPr>
        <w:tab/>
        <w:t>Kerr, M.</w:t>
      </w:r>
      <w:r w:rsidRPr="00A20A17">
        <w:rPr>
          <w:rFonts w:ascii="Calibri" w:eastAsia="Calibri" w:hAnsi="Calibri" w:cs="Arial"/>
          <w:i/>
        </w:rPr>
        <w:t xml:space="preserve"> et al.</w:t>
      </w:r>
      <w:r w:rsidRPr="00A20A17">
        <w:rPr>
          <w:rFonts w:ascii="Calibri" w:eastAsia="Calibri" w:hAnsi="Calibri" w:cs="Arial"/>
        </w:rPr>
        <w:t xml:space="preserve"> Cost effectiveness of cascade testing for familial hypercholesterolaemia, based on data from familial hypercholesterolaemia services in the UK. </w:t>
      </w:r>
      <w:r w:rsidRPr="00A20A17">
        <w:rPr>
          <w:rFonts w:ascii="Calibri" w:eastAsia="Calibri" w:hAnsi="Calibri" w:cs="Arial"/>
          <w:i/>
        </w:rPr>
        <w:t>Eur Heart J</w:t>
      </w:r>
      <w:r w:rsidRPr="00A20A17">
        <w:rPr>
          <w:rFonts w:ascii="Calibri" w:eastAsia="Calibri" w:hAnsi="Calibri" w:cs="Arial"/>
        </w:rPr>
        <w:t xml:space="preserve"> </w:t>
      </w:r>
      <w:r w:rsidRPr="00A20A17">
        <w:rPr>
          <w:rFonts w:ascii="Calibri" w:eastAsia="Calibri" w:hAnsi="Calibri" w:cs="Arial"/>
          <w:b/>
        </w:rPr>
        <w:t>38</w:t>
      </w:r>
      <w:r w:rsidRPr="00A20A17">
        <w:rPr>
          <w:rFonts w:ascii="Calibri" w:eastAsia="Calibri" w:hAnsi="Calibri" w:cs="Arial"/>
        </w:rPr>
        <w:t>, 1832-1839, doi:10.1093/eurheartj/ehx111 (2017).</w:t>
      </w:r>
    </w:p>
    <w:p w14:paraId="27715104" w14:textId="77777777" w:rsidR="00FE37DB" w:rsidRPr="00A20A17" w:rsidRDefault="00FE37DB" w:rsidP="00FE37DB">
      <w:pPr>
        <w:spacing w:before="120" w:after="120"/>
        <w:rPr>
          <w:rFonts w:ascii="Calibri" w:eastAsia="Calibri" w:hAnsi="Calibri" w:cs="Arial"/>
        </w:rPr>
      </w:pPr>
      <w:r w:rsidRPr="00A20A17">
        <w:rPr>
          <w:rFonts w:ascii="Calibri" w:eastAsia="Calibri" w:hAnsi="Calibri" w:cs="Arial"/>
        </w:rPr>
        <w:t>9</w:t>
      </w:r>
      <w:r w:rsidRPr="00A20A17">
        <w:rPr>
          <w:rFonts w:ascii="Calibri" w:eastAsia="Calibri" w:hAnsi="Calibri" w:cs="Arial"/>
        </w:rPr>
        <w:tab/>
        <w:t>Crosland, P.</w:t>
      </w:r>
      <w:r w:rsidRPr="00A20A17">
        <w:rPr>
          <w:rFonts w:ascii="Calibri" w:eastAsia="Calibri" w:hAnsi="Calibri" w:cs="Arial"/>
          <w:i/>
        </w:rPr>
        <w:t xml:space="preserve"> et al.</w:t>
      </w:r>
      <w:r w:rsidRPr="00A20A17">
        <w:rPr>
          <w:rFonts w:ascii="Calibri" w:eastAsia="Calibri" w:hAnsi="Calibri" w:cs="Arial"/>
        </w:rPr>
        <w:t xml:space="preserve"> Cost-utility analysis of searching electronic health records and cascade testing to identify and diagnose familial hypercholesterolaemia in England and Wales. </w:t>
      </w:r>
      <w:r w:rsidRPr="00A20A17">
        <w:rPr>
          <w:rFonts w:ascii="Calibri" w:eastAsia="Calibri" w:hAnsi="Calibri" w:cs="Arial"/>
          <w:i/>
        </w:rPr>
        <w:t>Atherosclerosis</w:t>
      </w:r>
      <w:r w:rsidRPr="00A20A17">
        <w:rPr>
          <w:rFonts w:ascii="Calibri" w:eastAsia="Calibri" w:hAnsi="Calibri" w:cs="Arial"/>
        </w:rPr>
        <w:t xml:space="preserve"> </w:t>
      </w:r>
      <w:r w:rsidRPr="00A20A17">
        <w:rPr>
          <w:rFonts w:ascii="Calibri" w:eastAsia="Calibri" w:hAnsi="Calibri" w:cs="Arial"/>
          <w:b/>
        </w:rPr>
        <w:t>275</w:t>
      </w:r>
      <w:r w:rsidRPr="00A20A17">
        <w:rPr>
          <w:rFonts w:ascii="Calibri" w:eastAsia="Calibri" w:hAnsi="Calibri" w:cs="Arial"/>
        </w:rPr>
        <w:t>, 80-87, doi:10.1016/j.atherosclerosis.2018.05.021 (2018).</w:t>
      </w:r>
    </w:p>
    <w:p w14:paraId="413DCBB0" w14:textId="77777777" w:rsidR="00FE37DB" w:rsidRPr="00A20A17" w:rsidRDefault="00FE37DB" w:rsidP="00FE37DB">
      <w:pPr>
        <w:spacing w:before="120" w:after="120"/>
        <w:rPr>
          <w:rFonts w:ascii="Calibri" w:eastAsia="Calibri" w:hAnsi="Calibri" w:cs="Arial"/>
        </w:rPr>
      </w:pPr>
      <w:r w:rsidRPr="00A20A17">
        <w:rPr>
          <w:rFonts w:ascii="Calibri" w:eastAsia="Calibri" w:hAnsi="Calibri" w:cs="Arial"/>
        </w:rPr>
        <w:t>10</w:t>
      </w:r>
      <w:r w:rsidRPr="00A20A17">
        <w:rPr>
          <w:rFonts w:ascii="Calibri" w:eastAsia="Calibri" w:hAnsi="Calibri" w:cs="Arial"/>
        </w:rPr>
        <w:tab/>
        <w:t>Nherera, L.</w:t>
      </w:r>
      <w:r w:rsidRPr="00A20A17">
        <w:rPr>
          <w:rFonts w:ascii="Calibri" w:eastAsia="Calibri" w:hAnsi="Calibri" w:cs="Arial"/>
          <w:i/>
        </w:rPr>
        <w:t xml:space="preserve"> et al.</w:t>
      </w:r>
      <w:r w:rsidRPr="00A20A17">
        <w:rPr>
          <w:rFonts w:ascii="Calibri" w:eastAsia="Calibri" w:hAnsi="Calibri" w:cs="Arial"/>
        </w:rPr>
        <w:t xml:space="preserve"> Cost-effectiveness analysis of the use of a high-intensity statin compared to a low-intensity statin in the management of patients with familial hypercholesterolaemia. </w:t>
      </w:r>
      <w:r w:rsidRPr="00A20A17">
        <w:rPr>
          <w:rFonts w:ascii="Calibri" w:eastAsia="Calibri" w:hAnsi="Calibri" w:cs="Arial"/>
          <w:i/>
        </w:rPr>
        <w:t>Curr Med Res Opin</w:t>
      </w:r>
      <w:r w:rsidRPr="00A20A17">
        <w:rPr>
          <w:rFonts w:ascii="Calibri" w:eastAsia="Calibri" w:hAnsi="Calibri" w:cs="Arial"/>
        </w:rPr>
        <w:t xml:space="preserve"> </w:t>
      </w:r>
      <w:r w:rsidRPr="00A20A17">
        <w:rPr>
          <w:rFonts w:ascii="Calibri" w:eastAsia="Calibri" w:hAnsi="Calibri" w:cs="Arial"/>
          <w:b/>
        </w:rPr>
        <w:t>26</w:t>
      </w:r>
      <w:r w:rsidRPr="00A20A17">
        <w:rPr>
          <w:rFonts w:ascii="Calibri" w:eastAsia="Calibri" w:hAnsi="Calibri" w:cs="Arial"/>
        </w:rPr>
        <w:t>, 529-536, doi:10.1185/03007990903494934 (2010).</w:t>
      </w:r>
    </w:p>
    <w:p w14:paraId="7ABBF27B" w14:textId="77777777" w:rsidR="00FE37DB" w:rsidRPr="00A20A17" w:rsidRDefault="00FE37DB" w:rsidP="00FE37DB">
      <w:pPr>
        <w:spacing w:before="120" w:after="120"/>
        <w:rPr>
          <w:rFonts w:ascii="Calibri" w:eastAsia="Calibri" w:hAnsi="Calibri" w:cs="Arial"/>
        </w:rPr>
      </w:pPr>
      <w:r w:rsidRPr="00A20A17">
        <w:rPr>
          <w:rFonts w:ascii="Calibri" w:eastAsia="Calibri" w:hAnsi="Calibri" w:cs="Arial"/>
        </w:rPr>
        <w:t>11</w:t>
      </w:r>
      <w:r w:rsidRPr="00A20A17">
        <w:rPr>
          <w:rFonts w:ascii="Calibri" w:eastAsia="Calibri" w:hAnsi="Calibri" w:cs="Arial"/>
        </w:rPr>
        <w:tab/>
        <w:t>NICE. Technology appraisal guidance 385 -  Ezetimibe for treating primary heterozygous-familial and non-familial hypercholesterolaemia. (2006).</w:t>
      </w:r>
    </w:p>
    <w:p w14:paraId="175246D5" w14:textId="77777777" w:rsidR="00FE37DB" w:rsidRPr="00A20A17" w:rsidRDefault="00FE37DB" w:rsidP="00FE37DB">
      <w:pPr>
        <w:spacing w:before="120" w:after="120"/>
        <w:rPr>
          <w:rFonts w:ascii="Calibri" w:eastAsia="Calibri" w:hAnsi="Calibri" w:cs="Arial"/>
        </w:rPr>
      </w:pPr>
      <w:r w:rsidRPr="00A20A17">
        <w:rPr>
          <w:rFonts w:ascii="Calibri" w:eastAsia="Calibri" w:hAnsi="Calibri" w:cs="Arial"/>
        </w:rPr>
        <w:t>12</w:t>
      </w:r>
      <w:r w:rsidRPr="00A20A17">
        <w:rPr>
          <w:rFonts w:ascii="Calibri" w:eastAsia="Calibri" w:hAnsi="Calibri" w:cs="Arial"/>
        </w:rPr>
        <w:tab/>
        <w:t>NICE. Clinical guideline 181. Lipid modification: cardiovascular risk assessment and the modification of blood lipids for the primary and secondary prevention of cardiovascular disease. (2014).</w:t>
      </w:r>
    </w:p>
    <w:p w14:paraId="4A740D74" w14:textId="77777777" w:rsidR="00FE37DB" w:rsidRPr="00A20A17" w:rsidRDefault="00FE37DB" w:rsidP="00FE37DB">
      <w:pPr>
        <w:spacing w:before="120" w:after="120"/>
        <w:rPr>
          <w:rFonts w:ascii="Calibri" w:eastAsia="Calibri" w:hAnsi="Calibri" w:cs="Arial"/>
        </w:rPr>
      </w:pPr>
      <w:r w:rsidRPr="00A20A17">
        <w:rPr>
          <w:rFonts w:ascii="Calibri" w:eastAsia="Calibri" w:hAnsi="Calibri" w:cs="Arial"/>
        </w:rPr>
        <w:t>13</w:t>
      </w:r>
      <w:r w:rsidRPr="00A20A17">
        <w:rPr>
          <w:rFonts w:ascii="Calibri" w:eastAsia="Calibri" w:hAnsi="Calibri" w:cs="Arial"/>
        </w:rPr>
        <w:tab/>
        <w:t>NICE. Technology appraisal guidance 393 -  Alirocumab for treating primary hypercholesterolaemia and mixed dyslipidaemia. (2016).</w:t>
      </w:r>
    </w:p>
    <w:p w14:paraId="6134FE32" w14:textId="77777777" w:rsidR="00FE37DB" w:rsidRPr="00A20A17" w:rsidRDefault="00FE37DB" w:rsidP="00FE37DB">
      <w:pPr>
        <w:spacing w:before="120" w:after="120"/>
        <w:rPr>
          <w:rFonts w:ascii="Calibri" w:eastAsia="Calibri" w:hAnsi="Calibri" w:cs="Arial"/>
        </w:rPr>
      </w:pPr>
      <w:r w:rsidRPr="00A20A17">
        <w:rPr>
          <w:rFonts w:ascii="Calibri" w:eastAsia="Calibri" w:hAnsi="Calibri" w:cs="Arial"/>
        </w:rPr>
        <w:t>14</w:t>
      </w:r>
      <w:r w:rsidRPr="00A20A17">
        <w:rPr>
          <w:rFonts w:ascii="Calibri" w:eastAsia="Calibri" w:hAnsi="Calibri" w:cs="Arial"/>
        </w:rPr>
        <w:tab/>
        <w:t>NICE. Technology appraisal guidance 395 - Ceritinib for previously treated anaplastic lymphoma kinase positive non-small-cell lung cancer. (2016).</w:t>
      </w:r>
    </w:p>
    <w:p w14:paraId="4908A2F3" w14:textId="77777777" w:rsidR="00FE37DB" w:rsidRPr="00A20A17" w:rsidRDefault="00FE37DB" w:rsidP="00FE37DB">
      <w:pPr>
        <w:spacing w:before="120" w:after="120"/>
        <w:rPr>
          <w:rFonts w:ascii="Calibri" w:eastAsia="Calibri" w:hAnsi="Calibri" w:cs="Arial"/>
        </w:rPr>
      </w:pPr>
      <w:r w:rsidRPr="00A20A17">
        <w:rPr>
          <w:rFonts w:ascii="Calibri" w:eastAsia="Calibri" w:hAnsi="Calibri" w:cs="Arial"/>
        </w:rPr>
        <w:t>15</w:t>
      </w:r>
      <w:r w:rsidRPr="00A20A17">
        <w:rPr>
          <w:rFonts w:ascii="Calibri" w:eastAsia="Calibri" w:hAnsi="Calibri" w:cs="Arial"/>
        </w:rPr>
        <w:tab/>
        <w:t>Perak, A. M.</w:t>
      </w:r>
      <w:r w:rsidRPr="00A20A17">
        <w:rPr>
          <w:rFonts w:ascii="Calibri" w:eastAsia="Calibri" w:hAnsi="Calibri" w:cs="Arial"/>
          <w:i/>
        </w:rPr>
        <w:t xml:space="preserve"> et al.</w:t>
      </w:r>
      <w:r w:rsidRPr="00A20A17">
        <w:rPr>
          <w:rFonts w:ascii="Calibri" w:eastAsia="Calibri" w:hAnsi="Calibri" w:cs="Arial"/>
        </w:rPr>
        <w:t xml:space="preserve"> Long-Term Risk of Atherosclerotic Cardiovascular Disease in US Adults With the Familial Hypercholesterolemia Phenotype. </w:t>
      </w:r>
      <w:r w:rsidRPr="00A20A17">
        <w:rPr>
          <w:rFonts w:ascii="Calibri" w:eastAsia="Calibri" w:hAnsi="Calibri" w:cs="Arial"/>
          <w:i/>
        </w:rPr>
        <w:t>Circulation</w:t>
      </w:r>
      <w:r w:rsidRPr="00A20A17">
        <w:rPr>
          <w:rFonts w:ascii="Calibri" w:eastAsia="Calibri" w:hAnsi="Calibri" w:cs="Arial"/>
        </w:rPr>
        <w:t xml:space="preserve"> </w:t>
      </w:r>
      <w:r w:rsidRPr="00A20A17">
        <w:rPr>
          <w:rFonts w:ascii="Calibri" w:eastAsia="Calibri" w:hAnsi="Calibri" w:cs="Arial"/>
          <w:b/>
        </w:rPr>
        <w:t>134</w:t>
      </w:r>
      <w:r w:rsidRPr="00A20A17">
        <w:rPr>
          <w:rFonts w:ascii="Calibri" w:eastAsia="Calibri" w:hAnsi="Calibri" w:cs="Arial"/>
        </w:rPr>
        <w:t>, 9-19, doi:10.1161/CIRCULATIONAHA.116.022335 (2016).</w:t>
      </w:r>
    </w:p>
    <w:p w14:paraId="6B60157F" w14:textId="77777777" w:rsidR="00FE37DB" w:rsidRPr="00A20A17" w:rsidRDefault="00FE37DB" w:rsidP="00FE37DB">
      <w:pPr>
        <w:spacing w:before="120" w:after="120"/>
        <w:rPr>
          <w:rFonts w:ascii="Calibri" w:eastAsia="Calibri" w:hAnsi="Calibri" w:cs="Arial"/>
        </w:rPr>
      </w:pPr>
      <w:r w:rsidRPr="00A20A17">
        <w:rPr>
          <w:rFonts w:ascii="Calibri" w:eastAsia="Calibri" w:hAnsi="Calibri" w:cs="Arial"/>
        </w:rPr>
        <w:t>16</w:t>
      </w:r>
      <w:r w:rsidRPr="00A20A17">
        <w:rPr>
          <w:rFonts w:ascii="Calibri" w:eastAsia="Calibri" w:hAnsi="Calibri" w:cs="Arial"/>
        </w:rPr>
        <w:tab/>
        <w:t xml:space="preserve">Collaboration, C. T. T. Efficacy and safety of statin therapy in older people: a meta-analysis of individual participant data from 28 randomised controlled trials. </w:t>
      </w:r>
      <w:r w:rsidRPr="00A20A17">
        <w:rPr>
          <w:rFonts w:ascii="Calibri" w:eastAsia="Calibri" w:hAnsi="Calibri" w:cs="Arial"/>
          <w:i/>
        </w:rPr>
        <w:t>Lancet</w:t>
      </w:r>
      <w:r w:rsidRPr="00A20A17">
        <w:rPr>
          <w:rFonts w:ascii="Calibri" w:eastAsia="Calibri" w:hAnsi="Calibri" w:cs="Arial"/>
        </w:rPr>
        <w:t xml:space="preserve"> </w:t>
      </w:r>
      <w:r w:rsidRPr="00A20A17">
        <w:rPr>
          <w:rFonts w:ascii="Calibri" w:eastAsia="Calibri" w:hAnsi="Calibri" w:cs="Arial"/>
          <w:b/>
        </w:rPr>
        <w:t>393</w:t>
      </w:r>
      <w:r w:rsidRPr="00A20A17">
        <w:rPr>
          <w:rFonts w:ascii="Calibri" w:eastAsia="Calibri" w:hAnsi="Calibri" w:cs="Arial"/>
        </w:rPr>
        <w:t>, 407-415, doi:10.1016/S0140-6736(18)31942-1 (2019).</w:t>
      </w:r>
    </w:p>
    <w:p w14:paraId="6025A571" w14:textId="77777777" w:rsidR="00FE37DB" w:rsidRPr="00A20A17" w:rsidRDefault="00FE37DB" w:rsidP="00FE37DB">
      <w:pPr>
        <w:spacing w:before="120" w:after="120"/>
        <w:rPr>
          <w:rFonts w:ascii="Calibri" w:eastAsia="Calibri" w:hAnsi="Calibri" w:cs="Arial"/>
        </w:rPr>
      </w:pPr>
      <w:r w:rsidRPr="00A20A17">
        <w:rPr>
          <w:rFonts w:ascii="Calibri" w:eastAsia="Calibri" w:hAnsi="Calibri" w:cs="Arial"/>
        </w:rPr>
        <w:t>17</w:t>
      </w:r>
      <w:r w:rsidRPr="00A20A17">
        <w:rPr>
          <w:rFonts w:ascii="Calibri" w:eastAsia="Calibri" w:hAnsi="Calibri" w:cs="Arial"/>
        </w:rPr>
        <w:tab/>
        <w:t>Lewsey, J. D.</w:t>
      </w:r>
      <w:r w:rsidRPr="00A20A17">
        <w:rPr>
          <w:rFonts w:ascii="Calibri" w:eastAsia="Calibri" w:hAnsi="Calibri" w:cs="Arial"/>
          <w:i/>
        </w:rPr>
        <w:t xml:space="preserve"> et al.</w:t>
      </w:r>
      <w:r w:rsidRPr="00A20A17">
        <w:rPr>
          <w:rFonts w:ascii="Calibri" w:eastAsia="Calibri" w:hAnsi="Calibri" w:cs="Arial"/>
        </w:rPr>
        <w:t xml:space="preserve"> A cardiovascular disease policy model that predicts life expectancy taking into account socioeconomic deprivation. </w:t>
      </w:r>
      <w:r w:rsidRPr="00A20A17">
        <w:rPr>
          <w:rFonts w:ascii="Calibri" w:eastAsia="Calibri" w:hAnsi="Calibri" w:cs="Arial"/>
          <w:i/>
        </w:rPr>
        <w:t>Heart</w:t>
      </w:r>
      <w:r w:rsidRPr="00A20A17">
        <w:rPr>
          <w:rFonts w:ascii="Calibri" w:eastAsia="Calibri" w:hAnsi="Calibri" w:cs="Arial"/>
        </w:rPr>
        <w:t xml:space="preserve"> </w:t>
      </w:r>
      <w:r w:rsidRPr="00A20A17">
        <w:rPr>
          <w:rFonts w:ascii="Calibri" w:eastAsia="Calibri" w:hAnsi="Calibri" w:cs="Arial"/>
          <w:b/>
        </w:rPr>
        <w:t>101</w:t>
      </w:r>
      <w:r w:rsidRPr="00A20A17">
        <w:rPr>
          <w:rFonts w:ascii="Calibri" w:eastAsia="Calibri" w:hAnsi="Calibri" w:cs="Arial"/>
        </w:rPr>
        <w:t>, 201-208, doi:10.1136/heartjnl-2014-305637 (2015).</w:t>
      </w:r>
    </w:p>
    <w:p w14:paraId="1F48C714" w14:textId="77777777" w:rsidR="00FE37DB" w:rsidRPr="00A20A17" w:rsidRDefault="00FE37DB" w:rsidP="00FE37DB">
      <w:pPr>
        <w:spacing w:before="120" w:after="120"/>
        <w:rPr>
          <w:rFonts w:ascii="Calibri" w:eastAsia="Calibri" w:hAnsi="Calibri" w:cs="Arial"/>
        </w:rPr>
      </w:pPr>
      <w:r w:rsidRPr="00A20A17">
        <w:rPr>
          <w:rFonts w:ascii="Calibri" w:eastAsia="Calibri" w:hAnsi="Calibri" w:cs="Arial"/>
        </w:rPr>
        <w:t>18</w:t>
      </w:r>
      <w:r w:rsidRPr="00A20A17">
        <w:rPr>
          <w:rFonts w:ascii="Calibri" w:eastAsia="Calibri" w:hAnsi="Calibri" w:cs="Arial"/>
        </w:rPr>
        <w:tab/>
        <w:t>Office of National Statistics.    (ed Office of National Statistics) (2020).</w:t>
      </w:r>
    </w:p>
    <w:p w14:paraId="460A1ABD" w14:textId="77777777" w:rsidR="00FE37DB" w:rsidRPr="00A20A17" w:rsidRDefault="00FE37DB" w:rsidP="00FE37DB">
      <w:pPr>
        <w:spacing w:before="120" w:after="120"/>
        <w:rPr>
          <w:rFonts w:ascii="Calibri" w:eastAsia="Calibri" w:hAnsi="Calibri" w:cs="Arial"/>
        </w:rPr>
      </w:pPr>
      <w:r w:rsidRPr="00A20A17">
        <w:rPr>
          <w:rFonts w:ascii="Calibri" w:eastAsia="Calibri" w:hAnsi="Calibri" w:cs="Arial"/>
        </w:rPr>
        <w:t>19</w:t>
      </w:r>
      <w:r w:rsidRPr="00A20A17">
        <w:rPr>
          <w:rFonts w:ascii="Calibri" w:eastAsia="Calibri" w:hAnsi="Calibri" w:cs="Arial"/>
        </w:rPr>
        <w:tab/>
        <w:t>NHS Business Services Authority &amp; NHS Prescription Services.     (2019).</w:t>
      </w:r>
    </w:p>
    <w:p w14:paraId="0CB0A1A6" w14:textId="77777777" w:rsidR="00FE37DB" w:rsidRPr="00A20A17" w:rsidRDefault="00FE37DB" w:rsidP="00FE37DB">
      <w:pPr>
        <w:spacing w:before="120" w:after="120"/>
        <w:rPr>
          <w:rFonts w:ascii="Calibri" w:eastAsia="Calibri" w:hAnsi="Calibri" w:cs="Arial"/>
        </w:rPr>
      </w:pPr>
      <w:r w:rsidRPr="00A20A17">
        <w:rPr>
          <w:rFonts w:ascii="Calibri" w:eastAsia="Calibri" w:hAnsi="Calibri" w:cs="Arial"/>
        </w:rPr>
        <w:t>20</w:t>
      </w:r>
      <w:r w:rsidRPr="00A20A17">
        <w:rPr>
          <w:rFonts w:ascii="Calibri" w:eastAsia="Calibri" w:hAnsi="Calibri" w:cs="Arial"/>
        </w:rPr>
        <w:tab/>
        <w:t xml:space="preserve">Curtis, L. &amp; Burns, A. </w:t>
      </w:r>
      <w:r w:rsidRPr="00A20A17">
        <w:rPr>
          <w:rFonts w:ascii="Calibri" w:eastAsia="Calibri" w:hAnsi="Calibri" w:cs="Arial"/>
          <w:i/>
        </w:rPr>
        <w:t>Unit Costs of Health and Social Care 2019</w:t>
      </w:r>
      <w:r w:rsidRPr="00A20A17">
        <w:rPr>
          <w:rFonts w:ascii="Calibri" w:eastAsia="Calibri" w:hAnsi="Calibri" w:cs="Arial"/>
        </w:rPr>
        <w:t>.  (Personal Social Services Research Unit, University of Kent, 2019).</w:t>
      </w:r>
    </w:p>
    <w:p w14:paraId="6F3620BD" w14:textId="77777777" w:rsidR="00FE37DB" w:rsidRPr="00A20A17" w:rsidRDefault="00FE37DB" w:rsidP="00FE37DB">
      <w:pPr>
        <w:spacing w:before="120" w:after="120"/>
        <w:rPr>
          <w:rFonts w:ascii="Calibri" w:eastAsia="Calibri" w:hAnsi="Calibri" w:cs="Arial"/>
        </w:rPr>
      </w:pPr>
      <w:r w:rsidRPr="00A20A17">
        <w:rPr>
          <w:rFonts w:ascii="Calibri" w:eastAsia="Calibri" w:hAnsi="Calibri" w:cs="Arial"/>
        </w:rPr>
        <w:t>21</w:t>
      </w:r>
      <w:r w:rsidRPr="00A20A17">
        <w:rPr>
          <w:rFonts w:ascii="Calibri" w:eastAsia="Calibri" w:hAnsi="Calibri" w:cs="Arial"/>
        </w:rPr>
        <w:tab/>
        <w:t>NHS England and NHS Improvement.     (2020).</w:t>
      </w:r>
    </w:p>
    <w:p w14:paraId="0A92DEC9" w14:textId="77777777" w:rsidR="00FE37DB" w:rsidRPr="00A20A17" w:rsidRDefault="00FE37DB" w:rsidP="00FE37DB">
      <w:pPr>
        <w:spacing w:before="120" w:after="120"/>
        <w:rPr>
          <w:rFonts w:ascii="Calibri" w:eastAsia="Calibri" w:hAnsi="Calibri" w:cs="Arial"/>
        </w:rPr>
      </w:pPr>
      <w:r w:rsidRPr="00A20A17">
        <w:rPr>
          <w:rFonts w:ascii="Calibri" w:eastAsia="Calibri" w:hAnsi="Calibri" w:cs="Arial"/>
        </w:rPr>
        <w:t>22</w:t>
      </w:r>
      <w:r w:rsidRPr="00A20A17">
        <w:rPr>
          <w:rFonts w:ascii="Calibri" w:eastAsia="Calibri" w:hAnsi="Calibri" w:cs="Arial"/>
        </w:rPr>
        <w:tab/>
        <w:t>Walker, S.</w:t>
      </w:r>
      <w:r w:rsidRPr="00A20A17">
        <w:rPr>
          <w:rFonts w:ascii="Calibri" w:eastAsia="Calibri" w:hAnsi="Calibri" w:cs="Arial"/>
          <w:i/>
        </w:rPr>
        <w:t xml:space="preserve"> et al.</w:t>
      </w:r>
      <w:r w:rsidRPr="00A20A17">
        <w:rPr>
          <w:rFonts w:ascii="Calibri" w:eastAsia="Calibri" w:hAnsi="Calibri" w:cs="Arial"/>
        </w:rPr>
        <w:t xml:space="preserve"> Long-term healthcare use and costs in patients with stable coronary artery disease: a population-based cohort using linked health records (CALIBER). </w:t>
      </w:r>
      <w:r w:rsidRPr="00A20A17">
        <w:rPr>
          <w:rFonts w:ascii="Calibri" w:eastAsia="Calibri" w:hAnsi="Calibri" w:cs="Arial"/>
          <w:i/>
        </w:rPr>
        <w:t>Eur Heart J Qual Care Clin Outcomes</w:t>
      </w:r>
      <w:r w:rsidRPr="00A20A17">
        <w:rPr>
          <w:rFonts w:ascii="Calibri" w:eastAsia="Calibri" w:hAnsi="Calibri" w:cs="Arial"/>
        </w:rPr>
        <w:t xml:space="preserve"> </w:t>
      </w:r>
      <w:r w:rsidRPr="00A20A17">
        <w:rPr>
          <w:rFonts w:ascii="Calibri" w:eastAsia="Calibri" w:hAnsi="Calibri" w:cs="Arial"/>
          <w:b/>
        </w:rPr>
        <w:t>2</w:t>
      </w:r>
      <w:r w:rsidRPr="00A20A17">
        <w:rPr>
          <w:rFonts w:ascii="Calibri" w:eastAsia="Calibri" w:hAnsi="Calibri" w:cs="Arial"/>
        </w:rPr>
        <w:t>, 125-140, doi:10.1093/ehjqcco/qcw003 (2016).</w:t>
      </w:r>
    </w:p>
    <w:p w14:paraId="3F797CB1" w14:textId="77777777" w:rsidR="00FE37DB" w:rsidRPr="00A20A17" w:rsidRDefault="00FE37DB" w:rsidP="00FE37DB">
      <w:pPr>
        <w:spacing w:before="120" w:after="120"/>
        <w:rPr>
          <w:rFonts w:ascii="Calibri" w:eastAsia="Calibri" w:hAnsi="Calibri" w:cs="Arial"/>
        </w:rPr>
      </w:pPr>
      <w:r w:rsidRPr="00A20A17">
        <w:rPr>
          <w:rFonts w:ascii="Calibri" w:eastAsia="Calibri" w:hAnsi="Calibri" w:cs="Arial"/>
        </w:rPr>
        <w:t>23</w:t>
      </w:r>
      <w:r w:rsidRPr="00A20A17">
        <w:rPr>
          <w:rFonts w:ascii="Calibri" w:eastAsia="Calibri" w:hAnsi="Calibri" w:cs="Arial"/>
        </w:rPr>
        <w:tab/>
        <w:t>Mach, F.</w:t>
      </w:r>
      <w:r w:rsidRPr="00A20A17">
        <w:rPr>
          <w:rFonts w:ascii="Calibri" w:eastAsia="Calibri" w:hAnsi="Calibri" w:cs="Arial"/>
          <w:i/>
        </w:rPr>
        <w:t xml:space="preserve"> et al.</w:t>
      </w:r>
      <w:r w:rsidRPr="00A20A17">
        <w:rPr>
          <w:rFonts w:ascii="Calibri" w:eastAsia="Calibri" w:hAnsi="Calibri" w:cs="Arial"/>
        </w:rPr>
        <w:t xml:space="preserve"> 2019 ESC/EAS Guidelines for the management of dyslipidaemias: lipid modification to reduce cardiovascular risk: The Task Force for the management of dyslipidaemias of the European Society of Cardiology (ESC) and European Atherosclerosis Society (EAS). </w:t>
      </w:r>
      <w:r w:rsidRPr="00A20A17">
        <w:rPr>
          <w:rFonts w:ascii="Calibri" w:eastAsia="Calibri" w:hAnsi="Calibri" w:cs="Arial"/>
          <w:i/>
        </w:rPr>
        <w:t>European Heart Journal</w:t>
      </w:r>
      <w:r w:rsidRPr="00A20A17">
        <w:rPr>
          <w:rFonts w:ascii="Calibri" w:eastAsia="Calibri" w:hAnsi="Calibri" w:cs="Arial"/>
        </w:rPr>
        <w:t xml:space="preserve"> </w:t>
      </w:r>
      <w:r w:rsidRPr="00A20A17">
        <w:rPr>
          <w:rFonts w:ascii="Calibri" w:eastAsia="Calibri" w:hAnsi="Calibri" w:cs="Arial"/>
          <w:b/>
        </w:rPr>
        <w:t>41</w:t>
      </w:r>
      <w:r w:rsidRPr="00A20A17">
        <w:rPr>
          <w:rFonts w:ascii="Calibri" w:eastAsia="Calibri" w:hAnsi="Calibri" w:cs="Arial"/>
        </w:rPr>
        <w:t>, 111-188, doi:10.1093/eurheartj/ehz455 (2019).</w:t>
      </w:r>
    </w:p>
    <w:p w14:paraId="32B16A91" w14:textId="77777777" w:rsidR="00FE37DB" w:rsidRPr="00A20A17" w:rsidRDefault="00FE37DB" w:rsidP="00FE37DB">
      <w:pPr>
        <w:spacing w:before="120" w:after="120"/>
        <w:rPr>
          <w:rFonts w:ascii="Calibri" w:eastAsia="Calibri" w:hAnsi="Calibri" w:cs="Arial"/>
        </w:rPr>
      </w:pPr>
      <w:r w:rsidRPr="00A20A17">
        <w:rPr>
          <w:rFonts w:ascii="Calibri" w:eastAsia="Calibri" w:hAnsi="Calibri" w:cs="Arial"/>
        </w:rPr>
        <w:t>24</w:t>
      </w:r>
      <w:r w:rsidRPr="00A20A17">
        <w:rPr>
          <w:rFonts w:ascii="Calibri" w:eastAsia="Calibri" w:hAnsi="Calibri" w:cs="Arial"/>
        </w:rPr>
        <w:tab/>
        <w:t>Bacquer, D.</w:t>
      </w:r>
      <w:r w:rsidRPr="00A20A17">
        <w:rPr>
          <w:rFonts w:ascii="Calibri" w:eastAsia="Calibri" w:hAnsi="Calibri" w:cs="Arial"/>
          <w:i/>
        </w:rPr>
        <w:t xml:space="preserve"> et al.</w:t>
      </w:r>
      <w:r w:rsidRPr="00A20A17">
        <w:rPr>
          <w:rFonts w:ascii="Calibri" w:eastAsia="Calibri" w:hAnsi="Calibri" w:cs="Arial"/>
        </w:rPr>
        <w:t xml:space="preserve"> Percentage low-density lipoprotein-cholesterol response to a given statin dose is not fixed across the pre-treatment range: Real world evidence from clinical practice: Data from the ESC-EORP EUROASPIRE V Study. </w:t>
      </w:r>
      <w:r w:rsidRPr="00A20A17">
        <w:rPr>
          <w:rFonts w:ascii="Calibri" w:eastAsia="Calibri" w:hAnsi="Calibri" w:cs="Arial"/>
          <w:i/>
        </w:rPr>
        <w:t>Eur J Prev Cardiol</w:t>
      </w:r>
      <w:r w:rsidRPr="00A20A17">
        <w:rPr>
          <w:rFonts w:ascii="Calibri" w:eastAsia="Calibri" w:hAnsi="Calibri" w:cs="Arial"/>
        </w:rPr>
        <w:t xml:space="preserve"> </w:t>
      </w:r>
      <w:r w:rsidRPr="00A20A17">
        <w:rPr>
          <w:rFonts w:ascii="Calibri" w:eastAsia="Calibri" w:hAnsi="Calibri" w:cs="Arial"/>
          <w:b/>
        </w:rPr>
        <w:t>27</w:t>
      </w:r>
      <w:r w:rsidRPr="00A20A17">
        <w:rPr>
          <w:rFonts w:ascii="Calibri" w:eastAsia="Calibri" w:hAnsi="Calibri" w:cs="Arial"/>
        </w:rPr>
        <w:t>, 1630-1636, doi:10.1177/2047487319874898 (2020).</w:t>
      </w:r>
    </w:p>
    <w:p w14:paraId="5B521577" w14:textId="77777777" w:rsidR="00FE37DB" w:rsidRPr="00A20A17" w:rsidRDefault="00FE37DB" w:rsidP="00FE37DB">
      <w:pPr>
        <w:spacing w:before="120" w:after="120"/>
        <w:rPr>
          <w:rFonts w:ascii="Calibri" w:eastAsia="Calibri" w:hAnsi="Calibri" w:cs="Arial"/>
        </w:rPr>
      </w:pPr>
      <w:r w:rsidRPr="00A20A17">
        <w:rPr>
          <w:rFonts w:ascii="Calibri" w:eastAsia="Calibri" w:hAnsi="Calibri" w:cs="Arial"/>
        </w:rPr>
        <w:t>25</w:t>
      </w:r>
      <w:r w:rsidRPr="00A20A17">
        <w:rPr>
          <w:rFonts w:ascii="Calibri" w:eastAsia="Calibri" w:hAnsi="Calibri" w:cs="Arial"/>
        </w:rPr>
        <w:tab/>
        <w:t>Ramaswami, U.</w:t>
      </w:r>
      <w:r w:rsidRPr="00A20A17">
        <w:rPr>
          <w:rFonts w:ascii="Calibri" w:eastAsia="Calibri" w:hAnsi="Calibri" w:cs="Arial"/>
          <w:i/>
        </w:rPr>
        <w:t xml:space="preserve"> et al.</w:t>
      </w:r>
      <w:r w:rsidRPr="00A20A17">
        <w:rPr>
          <w:rFonts w:ascii="Calibri" w:eastAsia="Calibri" w:hAnsi="Calibri" w:cs="Arial"/>
        </w:rPr>
        <w:t xml:space="preserve"> Current management of children and young people with heterozygous familial hypercholesterolaemia - HEART UK statement of care. </w:t>
      </w:r>
      <w:r w:rsidRPr="00A20A17">
        <w:rPr>
          <w:rFonts w:ascii="Calibri" w:eastAsia="Calibri" w:hAnsi="Calibri" w:cs="Arial"/>
          <w:i/>
        </w:rPr>
        <w:t>Atherosclerosis</w:t>
      </w:r>
      <w:r w:rsidRPr="00A20A17">
        <w:rPr>
          <w:rFonts w:ascii="Calibri" w:eastAsia="Calibri" w:hAnsi="Calibri" w:cs="Arial"/>
        </w:rPr>
        <w:t xml:space="preserve"> </w:t>
      </w:r>
      <w:r w:rsidRPr="00A20A17">
        <w:rPr>
          <w:rFonts w:ascii="Calibri" w:eastAsia="Calibri" w:hAnsi="Calibri" w:cs="Arial"/>
          <w:b/>
        </w:rPr>
        <w:t>290</w:t>
      </w:r>
      <w:r w:rsidRPr="00A20A17">
        <w:rPr>
          <w:rFonts w:ascii="Calibri" w:eastAsia="Calibri" w:hAnsi="Calibri" w:cs="Arial"/>
        </w:rPr>
        <w:t>, 1-8, doi:10.1016/j.atherosclerosis.2019.09.005 (2019).</w:t>
      </w:r>
    </w:p>
    <w:p w14:paraId="770E596F" w14:textId="77777777" w:rsidR="00FE37DB" w:rsidRPr="00A20A17" w:rsidRDefault="00FE37DB" w:rsidP="00FE37DB">
      <w:pPr>
        <w:spacing w:before="120" w:after="120"/>
        <w:rPr>
          <w:rFonts w:ascii="Calibri" w:eastAsia="Calibri" w:hAnsi="Calibri" w:cs="Arial"/>
        </w:rPr>
      </w:pPr>
      <w:r w:rsidRPr="00A20A17">
        <w:rPr>
          <w:rFonts w:ascii="Calibri" w:eastAsia="Calibri" w:hAnsi="Calibri" w:cs="Arial"/>
        </w:rPr>
        <w:t>26</w:t>
      </w:r>
      <w:r w:rsidRPr="00A20A17">
        <w:rPr>
          <w:rFonts w:ascii="Calibri" w:eastAsia="Calibri" w:hAnsi="Calibri" w:cs="Arial"/>
        </w:rPr>
        <w:tab/>
        <w:t>Humphries, S. E.</w:t>
      </w:r>
      <w:r w:rsidRPr="00A20A17">
        <w:rPr>
          <w:rFonts w:ascii="Calibri" w:eastAsia="Calibri" w:hAnsi="Calibri" w:cs="Arial"/>
          <w:i/>
        </w:rPr>
        <w:t xml:space="preserve"> et al.</w:t>
      </w:r>
      <w:r w:rsidRPr="00A20A17">
        <w:rPr>
          <w:rFonts w:ascii="Calibri" w:eastAsia="Calibri" w:hAnsi="Calibri" w:cs="Arial"/>
        </w:rPr>
        <w:t xml:space="preserve"> Coronary heart disease mortality in treated familial hypercholesterolaemia: Update of the UK Simon Broome FH register. </w:t>
      </w:r>
      <w:r w:rsidRPr="00A20A17">
        <w:rPr>
          <w:rFonts w:ascii="Calibri" w:eastAsia="Calibri" w:hAnsi="Calibri" w:cs="Arial"/>
          <w:i/>
        </w:rPr>
        <w:t>Atherosclerosis</w:t>
      </w:r>
      <w:r w:rsidRPr="00A20A17">
        <w:rPr>
          <w:rFonts w:ascii="Calibri" w:eastAsia="Calibri" w:hAnsi="Calibri" w:cs="Arial"/>
        </w:rPr>
        <w:t xml:space="preserve"> </w:t>
      </w:r>
      <w:r w:rsidRPr="00A20A17">
        <w:rPr>
          <w:rFonts w:ascii="Calibri" w:eastAsia="Calibri" w:hAnsi="Calibri" w:cs="Arial"/>
          <w:b/>
        </w:rPr>
        <w:t>274</w:t>
      </w:r>
      <w:r w:rsidRPr="00A20A17">
        <w:rPr>
          <w:rFonts w:ascii="Calibri" w:eastAsia="Calibri" w:hAnsi="Calibri" w:cs="Arial"/>
        </w:rPr>
        <w:t>, 41-46, doi:10.1016/j.atherosclerosis.2018.04.040 (2018).</w:t>
      </w:r>
    </w:p>
    <w:p w14:paraId="7C89E40B" w14:textId="77777777" w:rsidR="00FE37DB" w:rsidRPr="00A20A17" w:rsidRDefault="00FE37DB" w:rsidP="00FE37DB">
      <w:pPr>
        <w:spacing w:before="120" w:after="120"/>
        <w:rPr>
          <w:rFonts w:ascii="Calibri" w:eastAsia="Calibri" w:hAnsi="Calibri" w:cs="Arial"/>
        </w:rPr>
      </w:pPr>
      <w:r w:rsidRPr="00A20A17">
        <w:rPr>
          <w:rFonts w:ascii="Calibri" w:eastAsia="Calibri" w:hAnsi="Calibri" w:cs="Arial"/>
        </w:rPr>
        <w:t>27</w:t>
      </w:r>
      <w:r w:rsidRPr="00A20A17">
        <w:rPr>
          <w:rFonts w:ascii="Calibri" w:eastAsia="Calibri" w:hAnsi="Calibri" w:cs="Arial"/>
        </w:rPr>
        <w:tab/>
        <w:t>Asaria, P.</w:t>
      </w:r>
      <w:r w:rsidRPr="00A20A17">
        <w:rPr>
          <w:rFonts w:ascii="Calibri" w:eastAsia="Calibri" w:hAnsi="Calibri" w:cs="Arial"/>
          <w:i/>
        </w:rPr>
        <w:t xml:space="preserve"> et al.</w:t>
      </w:r>
      <w:r w:rsidRPr="00A20A17">
        <w:rPr>
          <w:rFonts w:ascii="Calibri" w:eastAsia="Calibri" w:hAnsi="Calibri" w:cs="Arial"/>
        </w:rPr>
        <w:t xml:space="preserve"> Acute myocardial infarction hospital admissions and deaths in England: a national follow-back and follow-forward record-linkage study. </w:t>
      </w:r>
      <w:r w:rsidRPr="00A20A17">
        <w:rPr>
          <w:rFonts w:ascii="Calibri" w:eastAsia="Calibri" w:hAnsi="Calibri" w:cs="Arial"/>
          <w:i/>
        </w:rPr>
        <w:t>Lancet Public Health</w:t>
      </w:r>
      <w:r w:rsidRPr="00A20A17">
        <w:rPr>
          <w:rFonts w:ascii="Calibri" w:eastAsia="Calibri" w:hAnsi="Calibri" w:cs="Arial"/>
        </w:rPr>
        <w:t xml:space="preserve"> </w:t>
      </w:r>
      <w:r w:rsidRPr="00A20A17">
        <w:rPr>
          <w:rFonts w:ascii="Calibri" w:eastAsia="Calibri" w:hAnsi="Calibri" w:cs="Arial"/>
          <w:b/>
        </w:rPr>
        <w:t>2</w:t>
      </w:r>
      <w:r w:rsidRPr="00A20A17">
        <w:rPr>
          <w:rFonts w:ascii="Calibri" w:eastAsia="Calibri" w:hAnsi="Calibri" w:cs="Arial"/>
        </w:rPr>
        <w:t>, e191-e201, doi:10.1016/S2468-2667(17)30032-4 (2017).</w:t>
      </w:r>
    </w:p>
    <w:p w14:paraId="50FE696A" w14:textId="77777777" w:rsidR="00FE37DB" w:rsidRPr="00A20A17" w:rsidRDefault="00FE37DB" w:rsidP="00FE37DB">
      <w:pPr>
        <w:spacing w:before="120" w:after="120"/>
        <w:rPr>
          <w:rFonts w:ascii="Calibri" w:eastAsia="Calibri" w:hAnsi="Calibri" w:cs="Arial"/>
        </w:rPr>
      </w:pPr>
      <w:r w:rsidRPr="00A20A17">
        <w:rPr>
          <w:rFonts w:ascii="Calibri" w:eastAsia="Calibri" w:hAnsi="Calibri" w:cs="Arial"/>
        </w:rPr>
        <w:t>28</w:t>
      </w:r>
      <w:r w:rsidRPr="00A20A17">
        <w:rPr>
          <w:rFonts w:ascii="Calibri" w:eastAsia="Calibri" w:hAnsi="Calibri" w:cs="Arial"/>
        </w:rPr>
        <w:tab/>
        <w:t>Pears, R.</w:t>
      </w:r>
      <w:r w:rsidRPr="00A20A17">
        <w:rPr>
          <w:rFonts w:ascii="Calibri" w:eastAsia="Calibri" w:hAnsi="Calibri" w:cs="Arial"/>
          <w:i/>
        </w:rPr>
        <w:t xml:space="preserve"> et al.</w:t>
      </w:r>
      <w:r w:rsidRPr="00A20A17">
        <w:rPr>
          <w:rFonts w:ascii="Calibri" w:eastAsia="Calibri" w:hAnsi="Calibri" w:cs="Arial"/>
        </w:rPr>
        <w:t xml:space="preserve"> in </w:t>
      </w:r>
      <w:r w:rsidRPr="00A20A17">
        <w:rPr>
          <w:rFonts w:ascii="Calibri" w:eastAsia="Calibri" w:hAnsi="Calibri" w:cs="Arial"/>
          <w:i/>
        </w:rPr>
        <w:t>Open Heart</w:t>
      </w:r>
      <w:r w:rsidRPr="00A20A17">
        <w:rPr>
          <w:rFonts w:ascii="Calibri" w:eastAsia="Calibri" w:hAnsi="Calibri" w:cs="Arial"/>
        </w:rPr>
        <w:t xml:space="preserve"> Vol. 1   (2014).</w:t>
      </w:r>
    </w:p>
    <w:p w14:paraId="4B1EE53E" w14:textId="77777777" w:rsidR="00FE37DB" w:rsidRPr="00A20A17" w:rsidRDefault="00FE37DB" w:rsidP="00FE37DB">
      <w:pPr>
        <w:spacing w:before="120" w:after="120"/>
        <w:rPr>
          <w:rFonts w:ascii="Calibri" w:eastAsia="Calibri" w:hAnsi="Calibri" w:cs="Arial"/>
        </w:rPr>
      </w:pPr>
      <w:r w:rsidRPr="00A20A17">
        <w:rPr>
          <w:rFonts w:ascii="Calibri" w:eastAsia="Calibri" w:hAnsi="Calibri" w:cs="Arial"/>
        </w:rPr>
        <w:t>29</w:t>
      </w:r>
      <w:r w:rsidRPr="00A20A17">
        <w:rPr>
          <w:rFonts w:ascii="Calibri" w:eastAsia="Calibri" w:hAnsi="Calibri" w:cs="Arial"/>
        </w:rPr>
        <w:tab/>
        <w:t>Nanchen, D.</w:t>
      </w:r>
      <w:r w:rsidRPr="00A20A17">
        <w:rPr>
          <w:rFonts w:ascii="Calibri" w:eastAsia="Calibri" w:hAnsi="Calibri" w:cs="Arial"/>
          <w:i/>
        </w:rPr>
        <w:t xml:space="preserve"> et al.</w:t>
      </w:r>
      <w:r w:rsidRPr="00A20A17">
        <w:rPr>
          <w:rFonts w:ascii="Calibri" w:eastAsia="Calibri" w:hAnsi="Calibri" w:cs="Arial"/>
        </w:rPr>
        <w:t xml:space="preserve"> Prognosis of Patients With Familial Hypercholesterolemia After Acute Coronary Syndromes. </w:t>
      </w:r>
      <w:r w:rsidRPr="00A20A17">
        <w:rPr>
          <w:rFonts w:ascii="Calibri" w:eastAsia="Calibri" w:hAnsi="Calibri" w:cs="Arial"/>
          <w:i/>
        </w:rPr>
        <w:t>Circulation</w:t>
      </w:r>
      <w:r w:rsidRPr="00A20A17">
        <w:rPr>
          <w:rFonts w:ascii="Calibri" w:eastAsia="Calibri" w:hAnsi="Calibri" w:cs="Arial"/>
        </w:rPr>
        <w:t xml:space="preserve"> </w:t>
      </w:r>
      <w:r w:rsidRPr="00A20A17">
        <w:rPr>
          <w:rFonts w:ascii="Calibri" w:eastAsia="Calibri" w:hAnsi="Calibri" w:cs="Arial"/>
          <w:b/>
        </w:rPr>
        <w:t>134</w:t>
      </w:r>
      <w:r w:rsidRPr="00A20A17">
        <w:rPr>
          <w:rFonts w:ascii="Calibri" w:eastAsia="Calibri" w:hAnsi="Calibri" w:cs="Arial"/>
        </w:rPr>
        <w:t>, 698-709, doi:10.1161/CIRCULATIONAHA.116.023007 (2016).</w:t>
      </w:r>
    </w:p>
    <w:p w14:paraId="7B4D5E47" w14:textId="77777777" w:rsidR="00FE37DB" w:rsidRPr="00A20A17" w:rsidRDefault="00FE37DB" w:rsidP="00FE37DB">
      <w:pPr>
        <w:spacing w:before="120" w:after="120"/>
        <w:rPr>
          <w:rFonts w:ascii="Calibri" w:eastAsia="Calibri" w:hAnsi="Calibri" w:cs="Arial"/>
        </w:rPr>
      </w:pPr>
      <w:r w:rsidRPr="00A20A17">
        <w:rPr>
          <w:rFonts w:ascii="Calibri" w:eastAsia="Calibri" w:hAnsi="Calibri" w:cs="Arial"/>
        </w:rPr>
        <w:t>30</w:t>
      </w:r>
      <w:r w:rsidRPr="00A20A17">
        <w:rPr>
          <w:rFonts w:ascii="Calibri" w:eastAsia="Calibri" w:hAnsi="Calibri" w:cs="Arial"/>
        </w:rPr>
        <w:tab/>
        <w:t xml:space="preserve">Ara, R. &amp; Brazier, J. E. Populating an economic model with health state utility values: moving toward better practice. </w:t>
      </w:r>
      <w:r w:rsidRPr="00A20A17">
        <w:rPr>
          <w:rFonts w:ascii="Calibri" w:eastAsia="Calibri" w:hAnsi="Calibri" w:cs="Arial"/>
          <w:i/>
        </w:rPr>
        <w:t>Value Health</w:t>
      </w:r>
      <w:r w:rsidRPr="00A20A17">
        <w:rPr>
          <w:rFonts w:ascii="Calibri" w:eastAsia="Calibri" w:hAnsi="Calibri" w:cs="Arial"/>
        </w:rPr>
        <w:t xml:space="preserve"> </w:t>
      </w:r>
      <w:r w:rsidRPr="00A20A17">
        <w:rPr>
          <w:rFonts w:ascii="Calibri" w:eastAsia="Calibri" w:hAnsi="Calibri" w:cs="Arial"/>
          <w:b/>
        </w:rPr>
        <w:t>13</w:t>
      </w:r>
      <w:r w:rsidRPr="00A20A17">
        <w:rPr>
          <w:rFonts w:ascii="Calibri" w:eastAsia="Calibri" w:hAnsi="Calibri" w:cs="Arial"/>
        </w:rPr>
        <w:t>, 509-518, doi:10.1111/j.1524-4733.2010.00700.x (2010).</w:t>
      </w:r>
    </w:p>
    <w:p w14:paraId="6226B311" w14:textId="77777777" w:rsidR="00FE37DB" w:rsidRPr="00A20A17" w:rsidRDefault="00FE37DB" w:rsidP="00FE37DB">
      <w:pPr>
        <w:spacing w:before="120" w:after="120"/>
        <w:rPr>
          <w:rFonts w:ascii="Calibri" w:eastAsia="Calibri" w:hAnsi="Calibri" w:cs="Arial"/>
        </w:rPr>
      </w:pPr>
      <w:r w:rsidRPr="00A20A17">
        <w:rPr>
          <w:rFonts w:ascii="Calibri" w:eastAsia="Calibri" w:hAnsi="Calibri" w:cs="Arial"/>
        </w:rPr>
        <w:t>31</w:t>
      </w:r>
      <w:r w:rsidRPr="00A20A17">
        <w:rPr>
          <w:rFonts w:ascii="Calibri" w:eastAsia="Calibri" w:hAnsi="Calibri" w:cs="Arial"/>
        </w:rPr>
        <w:tab/>
        <w:t xml:space="preserve">Vemer, P., Corro Ramos, I., van Voorn, G. A., Al, M. J. &amp; Feenstra, T. L. AdViSHE: A Validation-Assessment Tool of Health-Economic Models for Decision Makers and Model Users. </w:t>
      </w:r>
      <w:r w:rsidRPr="00A20A17">
        <w:rPr>
          <w:rFonts w:ascii="Calibri" w:eastAsia="Calibri" w:hAnsi="Calibri" w:cs="Arial"/>
          <w:i/>
        </w:rPr>
        <w:t>Pharmacoeconomics</w:t>
      </w:r>
      <w:r w:rsidRPr="00A20A17">
        <w:rPr>
          <w:rFonts w:ascii="Calibri" w:eastAsia="Calibri" w:hAnsi="Calibri" w:cs="Arial"/>
        </w:rPr>
        <w:t xml:space="preserve"> </w:t>
      </w:r>
      <w:r w:rsidRPr="00A20A17">
        <w:rPr>
          <w:rFonts w:ascii="Calibri" w:eastAsia="Calibri" w:hAnsi="Calibri" w:cs="Arial"/>
          <w:b/>
        </w:rPr>
        <w:t>34</w:t>
      </w:r>
      <w:r w:rsidRPr="00A20A17">
        <w:rPr>
          <w:rFonts w:ascii="Calibri" w:eastAsia="Calibri" w:hAnsi="Calibri" w:cs="Arial"/>
        </w:rPr>
        <w:t>, 349-361, doi:10.1007/s40273-015-0327-2 (2016).</w:t>
      </w:r>
    </w:p>
    <w:p w14:paraId="01B074F6" w14:textId="77777777" w:rsidR="00FE37DB" w:rsidRDefault="00FE37DB" w:rsidP="00FE37DB">
      <w:pPr>
        <w:spacing w:before="120" w:after="120"/>
        <w:rPr>
          <w:rFonts w:ascii="Calibri" w:eastAsia="Calibri" w:hAnsi="Calibri" w:cs="Arial"/>
        </w:rPr>
      </w:pPr>
      <w:r w:rsidRPr="00A20A17">
        <w:rPr>
          <w:rFonts w:ascii="Calibri" w:eastAsia="Calibri" w:hAnsi="Calibri" w:cs="Arial"/>
        </w:rPr>
        <w:t>32</w:t>
      </w:r>
      <w:r w:rsidRPr="00A20A17">
        <w:rPr>
          <w:rFonts w:ascii="Calibri" w:eastAsia="Calibri" w:hAnsi="Calibri" w:cs="Arial"/>
        </w:rPr>
        <w:tab/>
        <w:t xml:space="preserve">Büyükkaramikli, N. C., Rutten-van Mölken, M. P. M. H., Severens, J. L. &amp; Al, M. TECH-VER: A Verification Checklist to Reduce Errors in Models and Improve Their Credibility. </w:t>
      </w:r>
      <w:r w:rsidRPr="00A20A17">
        <w:rPr>
          <w:rFonts w:ascii="Calibri" w:eastAsia="Calibri" w:hAnsi="Calibri" w:cs="Arial"/>
          <w:i/>
        </w:rPr>
        <w:t>Pharmacoeconomics</w:t>
      </w:r>
      <w:r w:rsidRPr="00A20A17">
        <w:rPr>
          <w:rFonts w:ascii="Calibri" w:eastAsia="Calibri" w:hAnsi="Calibri" w:cs="Arial"/>
        </w:rPr>
        <w:t xml:space="preserve"> </w:t>
      </w:r>
      <w:r w:rsidRPr="00A20A17">
        <w:rPr>
          <w:rFonts w:ascii="Calibri" w:eastAsia="Calibri" w:hAnsi="Calibri" w:cs="Arial"/>
          <w:b/>
        </w:rPr>
        <w:t>37</w:t>
      </w:r>
      <w:r w:rsidRPr="00A20A17">
        <w:rPr>
          <w:rFonts w:ascii="Calibri" w:eastAsia="Calibri" w:hAnsi="Calibri" w:cs="Arial"/>
        </w:rPr>
        <w:t>, 1391-1408, doi:10.1007/s40273-019-00844-y (2019).</w:t>
      </w:r>
      <w:r w:rsidRPr="00A20A17">
        <w:rPr>
          <w:rFonts w:ascii="Calibri" w:eastAsia="Calibri" w:hAnsi="Calibri" w:cs="Arial"/>
        </w:rPr>
        <w:fldChar w:fldCharType="end"/>
      </w:r>
    </w:p>
    <w:p w14:paraId="6983B66A" w14:textId="77777777" w:rsidR="00205720" w:rsidRDefault="00FE37DB" w:rsidP="00863E2F"/>
    <w:sectPr w:rsidR="00205720">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3E97A15"/>
    <w:multiLevelType w:val="hybridMultilevel"/>
    <w:tmpl w:val="4C5E42D6"/>
    <w:lvl w:ilvl="0" w:tplc="0809000F">
      <w:start w:val="1"/>
      <w:numFmt w:val="decimal"/>
      <w:lvlText w:val="%1."/>
      <w:lvlJc w:val="left"/>
      <w:pPr>
        <w:ind w:left="720" w:hanging="360"/>
      </w:pPr>
    </w:lvl>
    <w:lvl w:ilvl="1" w:tplc="08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BE4756F"/>
    <w:multiLevelType w:val="hybridMultilevel"/>
    <w:tmpl w:val="DC2040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BF336C0"/>
    <w:multiLevelType w:val="hybridMultilevel"/>
    <w:tmpl w:val="2584C19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4BCA3F8C"/>
    <w:multiLevelType w:val="hybridMultilevel"/>
    <w:tmpl w:val="2FEA84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4D1E42F1"/>
    <w:multiLevelType w:val="hybridMultilevel"/>
    <w:tmpl w:val="F1B074D4"/>
    <w:lvl w:ilvl="0" w:tplc="0809000F">
      <w:start w:val="1"/>
      <w:numFmt w:val="decimal"/>
      <w:lvlText w:val="%1."/>
      <w:lvlJc w:val="left"/>
      <w:pPr>
        <w:ind w:left="720" w:hanging="360"/>
      </w:pPr>
      <w:rPr>
        <w:rFonts w:hint="default"/>
      </w:rPr>
    </w:lvl>
    <w:lvl w:ilvl="1" w:tplc="0809000F">
      <w:start w:val="1"/>
      <w:numFmt w:val="decimal"/>
      <w:lvlText w:val="%2."/>
      <w:lvlJc w:val="left"/>
      <w:pPr>
        <w:ind w:left="1440" w:hanging="360"/>
      </w:pPr>
    </w:lvl>
    <w:lvl w:ilvl="2" w:tplc="C046D636">
      <w:start w:val="2"/>
      <w:numFmt w:val="lowerRoman"/>
      <w:lvlText w:val="%3."/>
      <w:lvlJc w:val="left"/>
      <w:pPr>
        <w:ind w:left="2700" w:hanging="720"/>
      </w:pPr>
      <w:rPr>
        <w:rFonts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573A15D7"/>
    <w:multiLevelType w:val="hybridMultilevel"/>
    <w:tmpl w:val="25D23AE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5B8C5191"/>
    <w:multiLevelType w:val="hybridMultilevel"/>
    <w:tmpl w:val="C9BA5DAE"/>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5C6D1307"/>
    <w:multiLevelType w:val="hybridMultilevel"/>
    <w:tmpl w:val="5CDA8E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E4D6995"/>
    <w:multiLevelType w:val="hybridMultilevel"/>
    <w:tmpl w:val="86C47E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63D94FA4"/>
    <w:multiLevelType w:val="hybridMultilevel"/>
    <w:tmpl w:val="36F22E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63F02892"/>
    <w:multiLevelType w:val="hybridMultilevel"/>
    <w:tmpl w:val="6BCCF6D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655A0D4E"/>
    <w:multiLevelType w:val="hybridMultilevel"/>
    <w:tmpl w:val="2B9ED9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6AEF1C85"/>
    <w:multiLevelType w:val="hybridMultilevel"/>
    <w:tmpl w:val="A4BA225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73C407BF"/>
    <w:multiLevelType w:val="multilevel"/>
    <w:tmpl w:val="58BA3008"/>
    <w:lvl w:ilvl="0">
      <w:start w:val="1"/>
      <w:numFmt w:val="decimal"/>
      <w:lvlText w:val="%1."/>
      <w:lvlJc w:val="left"/>
      <w:pPr>
        <w:ind w:left="360" w:hanging="360"/>
      </w:pPr>
    </w:lvl>
    <w:lvl w:ilvl="1">
      <w:start w:val="1"/>
      <w:numFmt w:val="decimal"/>
      <w:pStyle w:val="Heading1"/>
      <w:lvlText w:val="%1.%2."/>
      <w:lvlJc w:val="left"/>
      <w:pPr>
        <w:ind w:left="1850"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74913E95"/>
    <w:multiLevelType w:val="hybridMultilevel"/>
    <w:tmpl w:val="035E7B1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B89023B"/>
    <w:multiLevelType w:val="hybridMultilevel"/>
    <w:tmpl w:val="5B6002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BE0094F"/>
    <w:multiLevelType w:val="hybridMultilevel"/>
    <w:tmpl w:val="68920828"/>
    <w:lvl w:ilvl="0" w:tplc="C2945E5C">
      <w:start w:val="1"/>
      <w:numFmt w:val="lowerRoman"/>
      <w:lvlText w:val="%1."/>
      <w:lvlJc w:val="left"/>
      <w:pPr>
        <w:ind w:left="780" w:hanging="720"/>
      </w:pPr>
      <w:rPr>
        <w:rFonts w:hint="default"/>
      </w:rPr>
    </w:lvl>
    <w:lvl w:ilvl="1" w:tplc="08090019" w:tentative="1">
      <w:start w:val="1"/>
      <w:numFmt w:val="lowerLetter"/>
      <w:lvlText w:val="%2."/>
      <w:lvlJc w:val="left"/>
      <w:pPr>
        <w:ind w:left="1140" w:hanging="360"/>
      </w:pPr>
    </w:lvl>
    <w:lvl w:ilvl="2" w:tplc="0809001B" w:tentative="1">
      <w:start w:val="1"/>
      <w:numFmt w:val="lowerRoman"/>
      <w:lvlText w:val="%3."/>
      <w:lvlJc w:val="right"/>
      <w:pPr>
        <w:ind w:left="1860" w:hanging="180"/>
      </w:pPr>
    </w:lvl>
    <w:lvl w:ilvl="3" w:tplc="0809000F" w:tentative="1">
      <w:start w:val="1"/>
      <w:numFmt w:val="decimal"/>
      <w:lvlText w:val="%4."/>
      <w:lvlJc w:val="left"/>
      <w:pPr>
        <w:ind w:left="2580" w:hanging="360"/>
      </w:pPr>
    </w:lvl>
    <w:lvl w:ilvl="4" w:tplc="08090019" w:tentative="1">
      <w:start w:val="1"/>
      <w:numFmt w:val="lowerLetter"/>
      <w:lvlText w:val="%5."/>
      <w:lvlJc w:val="left"/>
      <w:pPr>
        <w:ind w:left="3300" w:hanging="360"/>
      </w:pPr>
    </w:lvl>
    <w:lvl w:ilvl="5" w:tplc="0809001B" w:tentative="1">
      <w:start w:val="1"/>
      <w:numFmt w:val="lowerRoman"/>
      <w:lvlText w:val="%6."/>
      <w:lvlJc w:val="right"/>
      <w:pPr>
        <w:ind w:left="4020" w:hanging="180"/>
      </w:pPr>
    </w:lvl>
    <w:lvl w:ilvl="6" w:tplc="0809000F" w:tentative="1">
      <w:start w:val="1"/>
      <w:numFmt w:val="decimal"/>
      <w:lvlText w:val="%7."/>
      <w:lvlJc w:val="left"/>
      <w:pPr>
        <w:ind w:left="4740" w:hanging="360"/>
      </w:pPr>
    </w:lvl>
    <w:lvl w:ilvl="7" w:tplc="08090019" w:tentative="1">
      <w:start w:val="1"/>
      <w:numFmt w:val="lowerLetter"/>
      <w:lvlText w:val="%8."/>
      <w:lvlJc w:val="left"/>
      <w:pPr>
        <w:ind w:left="5460" w:hanging="360"/>
      </w:pPr>
    </w:lvl>
    <w:lvl w:ilvl="8" w:tplc="0809001B" w:tentative="1">
      <w:start w:val="1"/>
      <w:numFmt w:val="lowerRoman"/>
      <w:lvlText w:val="%9."/>
      <w:lvlJc w:val="right"/>
      <w:pPr>
        <w:ind w:left="6180" w:hanging="180"/>
      </w:pPr>
    </w:lvl>
  </w:abstractNum>
  <w:num w:numId="1">
    <w:abstractNumId w:val="13"/>
  </w:num>
  <w:num w:numId="2">
    <w:abstractNumId w:val="4"/>
  </w:num>
  <w:num w:numId="3">
    <w:abstractNumId w:val="6"/>
  </w:num>
  <w:num w:numId="4">
    <w:abstractNumId w:val="16"/>
  </w:num>
  <w:num w:numId="5">
    <w:abstractNumId w:val="12"/>
  </w:num>
  <w:num w:numId="6">
    <w:abstractNumId w:val="7"/>
  </w:num>
  <w:num w:numId="7">
    <w:abstractNumId w:val="3"/>
  </w:num>
  <w:num w:numId="8">
    <w:abstractNumId w:val="2"/>
  </w:num>
  <w:num w:numId="9">
    <w:abstractNumId w:val="14"/>
  </w:num>
  <w:num w:numId="10">
    <w:abstractNumId w:val="0"/>
  </w:num>
  <w:num w:numId="11">
    <w:abstractNumId w:val="5"/>
  </w:num>
  <w:num w:numId="12">
    <w:abstractNumId w:val="10"/>
  </w:num>
  <w:num w:numId="13">
    <w:abstractNumId w:val="9"/>
  </w:num>
  <w:num w:numId="14">
    <w:abstractNumId w:val="11"/>
  </w:num>
  <w:num w:numId="15">
    <w:abstractNumId w:val="1"/>
  </w:num>
  <w:num w:numId="16">
    <w:abstractNumId w:val="8"/>
  </w:num>
  <w:num w:numId="17">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defaultTabStop w:val="720"/>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E37DB"/>
    <w:rsid w:val="00334069"/>
    <w:rsid w:val="003A5207"/>
    <w:rsid w:val="00705A6A"/>
    <w:rsid w:val="0074105A"/>
    <w:rsid w:val="00863E2F"/>
    <w:rsid w:val="008846D6"/>
    <w:rsid w:val="00BA4A05"/>
    <w:rsid w:val="00CB76BB"/>
    <w:rsid w:val="00DF1C41"/>
    <w:rsid w:val="00F067E3"/>
    <w:rsid w:val="00F4212D"/>
    <w:rsid w:val="00FE37DB"/>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E91883"/>
  <w15:chartTrackingRefBased/>
  <w15:docId w15:val="{E7C97110-8285-4930-94F6-36013BD969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E37DB"/>
    <w:pPr>
      <w:spacing w:after="200" w:line="276" w:lineRule="auto"/>
    </w:pPr>
    <w:rPr>
      <w:rFonts w:ascii="Arial" w:hAnsi="Arial"/>
    </w:rPr>
  </w:style>
  <w:style w:type="paragraph" w:styleId="Heading1">
    <w:name w:val="heading 1"/>
    <w:basedOn w:val="Normal"/>
    <w:next w:val="Normal"/>
    <w:link w:val="Heading1Char"/>
    <w:autoRedefine/>
    <w:uiPriority w:val="9"/>
    <w:qFormat/>
    <w:rsid w:val="00FE37DB"/>
    <w:pPr>
      <w:keepNext/>
      <w:keepLines/>
      <w:numPr>
        <w:ilvl w:val="1"/>
        <w:numId w:val="1"/>
      </w:numPr>
      <w:spacing w:after="0" w:line="360" w:lineRule="auto"/>
      <w:ind w:left="788" w:hanging="431"/>
      <w:jc w:val="both"/>
      <w:outlineLvl w:val="0"/>
    </w:pPr>
    <w:rPr>
      <w:rFonts w:eastAsiaTheme="majorEastAsia" w:cstheme="majorBidi"/>
      <w:b/>
      <w:bCs/>
      <w:sz w:val="24"/>
      <w:szCs w:val="28"/>
    </w:rPr>
  </w:style>
  <w:style w:type="paragraph" w:styleId="Heading2">
    <w:name w:val="heading 2"/>
    <w:basedOn w:val="Normal"/>
    <w:next w:val="Normal"/>
    <w:link w:val="Heading2Char"/>
    <w:uiPriority w:val="9"/>
    <w:unhideWhenUsed/>
    <w:qFormat/>
    <w:rsid w:val="00FE37DB"/>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FE37DB"/>
    <w:pPr>
      <w:keepNext/>
      <w:keepLines/>
      <w:spacing w:before="40" w:after="0"/>
      <w:outlineLvl w:val="2"/>
    </w:pPr>
    <w:rPr>
      <w:rFonts w:ascii="Calibri Light" w:eastAsia="Calibri Light" w:hAnsi="Calibri Light" w:cs="Times New Roman"/>
      <w:color w:val="1F3763"/>
      <w:sz w:val="24"/>
      <w:szCs w:val="24"/>
    </w:rPr>
  </w:style>
  <w:style w:type="paragraph" w:styleId="Heading4">
    <w:name w:val="heading 4"/>
    <w:basedOn w:val="Normal"/>
    <w:next w:val="Normal"/>
    <w:link w:val="Heading4Char"/>
    <w:uiPriority w:val="9"/>
    <w:unhideWhenUsed/>
    <w:qFormat/>
    <w:rsid w:val="00FE37DB"/>
    <w:pPr>
      <w:keepNext/>
      <w:keepLines/>
      <w:spacing w:before="40" w:after="0"/>
      <w:outlineLvl w:val="3"/>
    </w:pPr>
    <w:rPr>
      <w:rFonts w:ascii="Calibri Light" w:eastAsia="Calibri Light" w:hAnsi="Calibri Light" w:cs="Times New Roman"/>
      <w:i/>
      <w:iCs/>
      <w:color w:val="2F5496"/>
    </w:rPr>
  </w:style>
  <w:style w:type="paragraph" w:styleId="Heading5">
    <w:name w:val="heading 5"/>
    <w:basedOn w:val="Normal"/>
    <w:next w:val="Normal"/>
    <w:link w:val="Heading5Char"/>
    <w:uiPriority w:val="9"/>
    <w:semiHidden/>
    <w:unhideWhenUsed/>
    <w:qFormat/>
    <w:rsid w:val="00FE37DB"/>
    <w:pPr>
      <w:keepNext/>
      <w:keepLines/>
      <w:spacing w:before="40" w:after="0"/>
      <w:outlineLvl w:val="4"/>
    </w:pPr>
    <w:rPr>
      <w:rFonts w:ascii="Calibri Light" w:eastAsia="Calibri Light" w:hAnsi="Calibri Light" w:cs="Times New Roman"/>
      <w:color w:val="2F5496"/>
    </w:rPr>
  </w:style>
  <w:style w:type="paragraph" w:styleId="Heading6">
    <w:name w:val="heading 6"/>
    <w:basedOn w:val="Normal"/>
    <w:next w:val="Normal"/>
    <w:link w:val="Heading6Char"/>
    <w:uiPriority w:val="9"/>
    <w:semiHidden/>
    <w:unhideWhenUsed/>
    <w:qFormat/>
    <w:rsid w:val="00FE37DB"/>
    <w:pPr>
      <w:keepNext/>
      <w:keepLines/>
      <w:spacing w:before="40" w:after="0"/>
      <w:outlineLvl w:val="5"/>
    </w:pPr>
    <w:rPr>
      <w:rFonts w:ascii="Calibri Light" w:eastAsia="Calibri Light" w:hAnsi="Calibri Light" w:cs="Times New Roman"/>
      <w:color w:val="1F3763"/>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E37DB"/>
    <w:rPr>
      <w:rFonts w:ascii="Arial" w:eastAsiaTheme="majorEastAsia" w:hAnsi="Arial" w:cstheme="majorBidi"/>
      <w:b/>
      <w:bCs/>
      <w:sz w:val="24"/>
      <w:szCs w:val="28"/>
    </w:rPr>
  </w:style>
  <w:style w:type="character" w:customStyle="1" w:styleId="Heading2Char">
    <w:name w:val="Heading 2 Char"/>
    <w:basedOn w:val="DefaultParagraphFont"/>
    <w:link w:val="Heading2"/>
    <w:uiPriority w:val="9"/>
    <w:rsid w:val="00FE37DB"/>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FE37DB"/>
    <w:rPr>
      <w:rFonts w:ascii="Calibri Light" w:eastAsia="Calibri Light" w:hAnsi="Calibri Light" w:cs="Times New Roman"/>
      <w:color w:val="1F3763"/>
      <w:sz w:val="24"/>
      <w:szCs w:val="24"/>
    </w:rPr>
  </w:style>
  <w:style w:type="character" w:customStyle="1" w:styleId="Heading4Char">
    <w:name w:val="Heading 4 Char"/>
    <w:basedOn w:val="DefaultParagraphFont"/>
    <w:link w:val="Heading4"/>
    <w:uiPriority w:val="9"/>
    <w:rsid w:val="00FE37DB"/>
    <w:rPr>
      <w:rFonts w:ascii="Calibri Light" w:eastAsia="Calibri Light" w:hAnsi="Calibri Light" w:cs="Times New Roman"/>
      <w:i/>
      <w:iCs/>
      <w:color w:val="2F5496"/>
    </w:rPr>
  </w:style>
  <w:style w:type="character" w:customStyle="1" w:styleId="Heading5Char">
    <w:name w:val="Heading 5 Char"/>
    <w:basedOn w:val="DefaultParagraphFont"/>
    <w:link w:val="Heading5"/>
    <w:uiPriority w:val="9"/>
    <w:semiHidden/>
    <w:rsid w:val="00FE37DB"/>
    <w:rPr>
      <w:rFonts w:ascii="Calibri Light" w:eastAsia="Calibri Light" w:hAnsi="Calibri Light" w:cs="Times New Roman"/>
      <w:color w:val="2F5496"/>
    </w:rPr>
  </w:style>
  <w:style w:type="character" w:customStyle="1" w:styleId="Heading6Char">
    <w:name w:val="Heading 6 Char"/>
    <w:basedOn w:val="DefaultParagraphFont"/>
    <w:link w:val="Heading6"/>
    <w:uiPriority w:val="9"/>
    <w:semiHidden/>
    <w:rsid w:val="00FE37DB"/>
    <w:rPr>
      <w:rFonts w:ascii="Calibri Light" w:eastAsia="Calibri Light" w:hAnsi="Calibri Light" w:cs="Times New Roman"/>
      <w:color w:val="1F3763"/>
    </w:rPr>
  </w:style>
  <w:style w:type="paragraph" w:styleId="ListParagraph">
    <w:name w:val="List Paragraph"/>
    <w:basedOn w:val="Normal"/>
    <w:uiPriority w:val="34"/>
    <w:qFormat/>
    <w:rsid w:val="00FE37DB"/>
    <w:pPr>
      <w:ind w:left="720"/>
      <w:contextualSpacing/>
    </w:pPr>
  </w:style>
  <w:style w:type="character" w:styleId="CommentReference">
    <w:name w:val="annotation reference"/>
    <w:basedOn w:val="DefaultParagraphFont"/>
    <w:uiPriority w:val="99"/>
    <w:semiHidden/>
    <w:unhideWhenUsed/>
    <w:rsid w:val="00FE37DB"/>
    <w:rPr>
      <w:sz w:val="16"/>
      <w:szCs w:val="16"/>
    </w:rPr>
  </w:style>
  <w:style w:type="paragraph" w:styleId="CommentText">
    <w:name w:val="annotation text"/>
    <w:basedOn w:val="Normal"/>
    <w:link w:val="CommentTextChar"/>
    <w:uiPriority w:val="99"/>
    <w:semiHidden/>
    <w:unhideWhenUsed/>
    <w:rsid w:val="00FE37DB"/>
    <w:pPr>
      <w:spacing w:line="240" w:lineRule="auto"/>
    </w:pPr>
    <w:rPr>
      <w:sz w:val="20"/>
      <w:szCs w:val="20"/>
    </w:rPr>
  </w:style>
  <w:style w:type="character" w:customStyle="1" w:styleId="CommentTextChar">
    <w:name w:val="Comment Text Char"/>
    <w:basedOn w:val="DefaultParagraphFont"/>
    <w:link w:val="CommentText"/>
    <w:uiPriority w:val="99"/>
    <w:semiHidden/>
    <w:rsid w:val="00FE37DB"/>
    <w:rPr>
      <w:rFonts w:ascii="Arial" w:hAnsi="Arial"/>
      <w:sz w:val="20"/>
      <w:szCs w:val="20"/>
    </w:rPr>
  </w:style>
  <w:style w:type="table" w:styleId="TableGrid">
    <w:name w:val="Table Grid"/>
    <w:basedOn w:val="TableNormal"/>
    <w:uiPriority w:val="59"/>
    <w:rsid w:val="00FE37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FE37D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E37DB"/>
    <w:rPr>
      <w:rFonts w:ascii="Segoe UI" w:hAnsi="Segoe UI" w:cs="Segoe UI"/>
      <w:sz w:val="18"/>
      <w:szCs w:val="18"/>
    </w:rPr>
  </w:style>
  <w:style w:type="paragraph" w:styleId="CommentSubject">
    <w:name w:val="annotation subject"/>
    <w:basedOn w:val="CommentText"/>
    <w:next w:val="CommentText"/>
    <w:link w:val="CommentSubjectChar"/>
    <w:uiPriority w:val="99"/>
    <w:semiHidden/>
    <w:unhideWhenUsed/>
    <w:rsid w:val="00FE37DB"/>
    <w:rPr>
      <w:b/>
      <w:bCs/>
    </w:rPr>
  </w:style>
  <w:style w:type="character" w:customStyle="1" w:styleId="CommentSubjectChar">
    <w:name w:val="Comment Subject Char"/>
    <w:basedOn w:val="CommentTextChar"/>
    <w:link w:val="CommentSubject"/>
    <w:uiPriority w:val="99"/>
    <w:semiHidden/>
    <w:rsid w:val="00FE37DB"/>
    <w:rPr>
      <w:rFonts w:ascii="Arial" w:hAnsi="Arial"/>
      <w:b/>
      <w:bCs/>
      <w:sz w:val="20"/>
      <w:szCs w:val="20"/>
    </w:rPr>
  </w:style>
  <w:style w:type="table" w:customStyle="1" w:styleId="TableGrid1">
    <w:name w:val="Table Grid1"/>
    <w:basedOn w:val="TableNormal"/>
    <w:next w:val="TableGrid"/>
    <w:uiPriority w:val="39"/>
    <w:rsid w:val="00FE37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otnoteText1">
    <w:name w:val="Footnote Text1"/>
    <w:basedOn w:val="Normal"/>
    <w:next w:val="FootnoteText"/>
    <w:link w:val="FootnoteTextChar"/>
    <w:uiPriority w:val="99"/>
    <w:semiHidden/>
    <w:unhideWhenUsed/>
    <w:rsid w:val="00FE37DB"/>
    <w:pPr>
      <w:spacing w:after="0" w:line="240" w:lineRule="auto"/>
    </w:pPr>
    <w:rPr>
      <w:rFonts w:asciiTheme="minorHAnsi" w:hAnsiTheme="minorHAnsi"/>
      <w:sz w:val="20"/>
      <w:szCs w:val="20"/>
    </w:rPr>
  </w:style>
  <w:style w:type="character" w:customStyle="1" w:styleId="FootnoteTextChar">
    <w:name w:val="Footnote Text Char"/>
    <w:basedOn w:val="DefaultParagraphFont"/>
    <w:link w:val="FootnoteText1"/>
    <w:uiPriority w:val="99"/>
    <w:semiHidden/>
    <w:rsid w:val="00FE37DB"/>
    <w:rPr>
      <w:sz w:val="20"/>
      <w:szCs w:val="20"/>
    </w:rPr>
  </w:style>
  <w:style w:type="character" w:styleId="FootnoteReference">
    <w:name w:val="footnote reference"/>
    <w:basedOn w:val="DefaultParagraphFont"/>
    <w:uiPriority w:val="99"/>
    <w:semiHidden/>
    <w:unhideWhenUsed/>
    <w:rsid w:val="00FE37DB"/>
    <w:rPr>
      <w:vertAlign w:val="superscript"/>
    </w:rPr>
  </w:style>
  <w:style w:type="paragraph" w:styleId="FootnoteText">
    <w:name w:val="footnote text"/>
    <w:basedOn w:val="Normal"/>
    <w:link w:val="FootnoteTextChar1"/>
    <w:uiPriority w:val="99"/>
    <w:semiHidden/>
    <w:unhideWhenUsed/>
    <w:rsid w:val="00FE37DB"/>
    <w:pPr>
      <w:spacing w:after="0" w:line="240" w:lineRule="auto"/>
    </w:pPr>
    <w:rPr>
      <w:sz w:val="20"/>
      <w:szCs w:val="20"/>
    </w:rPr>
  </w:style>
  <w:style w:type="character" w:customStyle="1" w:styleId="FootnoteTextChar1">
    <w:name w:val="Footnote Text Char1"/>
    <w:basedOn w:val="DefaultParagraphFont"/>
    <w:link w:val="FootnoteText"/>
    <w:uiPriority w:val="99"/>
    <w:semiHidden/>
    <w:rsid w:val="00FE37DB"/>
    <w:rPr>
      <w:rFonts w:ascii="Arial" w:hAnsi="Arial"/>
      <w:sz w:val="20"/>
      <w:szCs w:val="20"/>
    </w:rPr>
  </w:style>
  <w:style w:type="paragraph" w:customStyle="1" w:styleId="Heading31">
    <w:name w:val="Heading 31"/>
    <w:basedOn w:val="Normal"/>
    <w:next w:val="Normal"/>
    <w:uiPriority w:val="9"/>
    <w:unhideWhenUsed/>
    <w:qFormat/>
    <w:rsid w:val="00FE37DB"/>
    <w:pPr>
      <w:keepNext/>
      <w:keepLines/>
      <w:spacing w:before="240" w:after="120"/>
      <w:outlineLvl w:val="2"/>
    </w:pPr>
    <w:rPr>
      <w:rFonts w:ascii="Calibri Light" w:eastAsia="Calibri Light" w:hAnsi="Calibri Light" w:cs="Times New Roman"/>
      <w:color w:val="1F3763"/>
      <w:sz w:val="24"/>
      <w:szCs w:val="24"/>
    </w:rPr>
  </w:style>
  <w:style w:type="paragraph" w:customStyle="1" w:styleId="Heading41">
    <w:name w:val="Heading 41"/>
    <w:basedOn w:val="Normal"/>
    <w:next w:val="Normal"/>
    <w:uiPriority w:val="9"/>
    <w:unhideWhenUsed/>
    <w:qFormat/>
    <w:rsid w:val="00FE37DB"/>
    <w:pPr>
      <w:keepNext/>
      <w:keepLines/>
      <w:spacing w:before="40" w:after="0"/>
      <w:outlineLvl w:val="3"/>
    </w:pPr>
    <w:rPr>
      <w:rFonts w:ascii="Calibri Light" w:eastAsia="Calibri Light" w:hAnsi="Calibri Light" w:cs="Times New Roman"/>
      <w:i/>
      <w:iCs/>
      <w:color w:val="2F5496"/>
    </w:rPr>
  </w:style>
  <w:style w:type="paragraph" w:customStyle="1" w:styleId="Heading51">
    <w:name w:val="Heading 51"/>
    <w:basedOn w:val="Normal"/>
    <w:next w:val="Normal"/>
    <w:uiPriority w:val="9"/>
    <w:unhideWhenUsed/>
    <w:qFormat/>
    <w:rsid w:val="00FE37DB"/>
    <w:pPr>
      <w:keepNext/>
      <w:keepLines/>
      <w:spacing w:before="40" w:after="0"/>
      <w:outlineLvl w:val="4"/>
    </w:pPr>
    <w:rPr>
      <w:rFonts w:ascii="Calibri Light" w:eastAsia="Calibri Light" w:hAnsi="Calibri Light" w:cs="Times New Roman"/>
      <w:color w:val="2F5496"/>
    </w:rPr>
  </w:style>
  <w:style w:type="paragraph" w:customStyle="1" w:styleId="Heading61">
    <w:name w:val="Heading 61"/>
    <w:basedOn w:val="Normal"/>
    <w:next w:val="Normal"/>
    <w:uiPriority w:val="9"/>
    <w:unhideWhenUsed/>
    <w:qFormat/>
    <w:rsid w:val="00FE37DB"/>
    <w:pPr>
      <w:keepNext/>
      <w:keepLines/>
      <w:spacing w:before="40" w:after="0"/>
      <w:outlineLvl w:val="5"/>
    </w:pPr>
    <w:rPr>
      <w:rFonts w:ascii="Calibri Light" w:eastAsia="Calibri Light" w:hAnsi="Calibri Light" w:cs="Times New Roman"/>
      <w:color w:val="1F3763"/>
    </w:rPr>
  </w:style>
  <w:style w:type="numbering" w:customStyle="1" w:styleId="NoList1">
    <w:name w:val="No List1"/>
    <w:next w:val="NoList"/>
    <w:uiPriority w:val="99"/>
    <w:semiHidden/>
    <w:unhideWhenUsed/>
    <w:rsid w:val="00FE37DB"/>
  </w:style>
  <w:style w:type="paragraph" w:customStyle="1" w:styleId="Title1">
    <w:name w:val="Title1"/>
    <w:basedOn w:val="Normal"/>
    <w:next w:val="Normal"/>
    <w:uiPriority w:val="10"/>
    <w:qFormat/>
    <w:rsid w:val="00FE37DB"/>
    <w:pPr>
      <w:pBdr>
        <w:bottom w:val="single" w:sz="4" w:space="1" w:color="auto"/>
      </w:pBdr>
      <w:spacing w:before="120" w:after="360"/>
      <w:contextualSpacing/>
      <w:jc w:val="center"/>
    </w:pPr>
    <w:rPr>
      <w:rFonts w:ascii="Calibri Light" w:eastAsia="Calibri Light" w:hAnsi="Calibri Light" w:cs="Times New Roman"/>
      <w:spacing w:val="-10"/>
      <w:kern w:val="28"/>
      <w:sz w:val="36"/>
      <w:szCs w:val="36"/>
    </w:rPr>
  </w:style>
  <w:style w:type="character" w:customStyle="1" w:styleId="TitleChar">
    <w:name w:val="Title Char"/>
    <w:basedOn w:val="DefaultParagraphFont"/>
    <w:link w:val="Title"/>
    <w:uiPriority w:val="10"/>
    <w:rsid w:val="00FE37DB"/>
    <w:rPr>
      <w:rFonts w:ascii="Calibri Light" w:eastAsia="Calibri Light" w:hAnsi="Calibri Light" w:cs="Times New Roman"/>
      <w:spacing w:val="-10"/>
      <w:kern w:val="28"/>
      <w:sz w:val="36"/>
      <w:szCs w:val="36"/>
    </w:rPr>
  </w:style>
  <w:style w:type="table" w:customStyle="1" w:styleId="TableGrid2">
    <w:name w:val="Table Grid2"/>
    <w:basedOn w:val="TableNormal"/>
    <w:next w:val="TableGrid"/>
    <w:uiPriority w:val="39"/>
    <w:rsid w:val="00FE37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1">
    <w:name w:val="Caption1"/>
    <w:basedOn w:val="Normal"/>
    <w:next w:val="Normal"/>
    <w:uiPriority w:val="35"/>
    <w:unhideWhenUsed/>
    <w:qFormat/>
    <w:rsid w:val="00FE37DB"/>
    <w:pPr>
      <w:spacing w:before="120"/>
    </w:pPr>
    <w:rPr>
      <w:rFonts w:ascii="Calibri" w:hAnsi="Calibri"/>
      <w:i/>
      <w:iCs/>
      <w:color w:val="44546A"/>
      <w:sz w:val="18"/>
      <w:szCs w:val="18"/>
    </w:rPr>
  </w:style>
  <w:style w:type="character" w:styleId="PlaceholderText">
    <w:name w:val="Placeholder Text"/>
    <w:basedOn w:val="DefaultParagraphFont"/>
    <w:uiPriority w:val="99"/>
    <w:semiHidden/>
    <w:rsid w:val="00FE37DB"/>
    <w:rPr>
      <w:color w:val="808080"/>
    </w:rPr>
  </w:style>
  <w:style w:type="character" w:customStyle="1" w:styleId="Hyperlink1">
    <w:name w:val="Hyperlink1"/>
    <w:basedOn w:val="DefaultParagraphFont"/>
    <w:uiPriority w:val="99"/>
    <w:unhideWhenUsed/>
    <w:rsid w:val="00FE37DB"/>
    <w:rPr>
      <w:color w:val="0563C1"/>
      <w:u w:val="single"/>
    </w:rPr>
  </w:style>
  <w:style w:type="character" w:customStyle="1" w:styleId="UnresolvedMention">
    <w:name w:val="Unresolved Mention"/>
    <w:basedOn w:val="DefaultParagraphFont"/>
    <w:uiPriority w:val="99"/>
    <w:semiHidden/>
    <w:unhideWhenUsed/>
    <w:rsid w:val="00FE37DB"/>
    <w:rPr>
      <w:color w:val="605E5C"/>
      <w:shd w:val="clear" w:color="auto" w:fill="E1DFDD"/>
    </w:rPr>
  </w:style>
  <w:style w:type="character" w:customStyle="1" w:styleId="FollowedHyperlink1">
    <w:name w:val="FollowedHyperlink1"/>
    <w:basedOn w:val="DefaultParagraphFont"/>
    <w:uiPriority w:val="99"/>
    <w:semiHidden/>
    <w:unhideWhenUsed/>
    <w:rsid w:val="00FE37DB"/>
    <w:rPr>
      <w:color w:val="954F72"/>
      <w:u w:val="single"/>
    </w:rPr>
  </w:style>
  <w:style w:type="paragraph" w:customStyle="1" w:styleId="Subtitle1">
    <w:name w:val="Subtitle1"/>
    <w:basedOn w:val="Normal"/>
    <w:next w:val="Normal"/>
    <w:uiPriority w:val="11"/>
    <w:qFormat/>
    <w:rsid w:val="00FE37DB"/>
    <w:pPr>
      <w:numPr>
        <w:ilvl w:val="1"/>
      </w:numPr>
      <w:spacing w:before="120" w:after="160"/>
    </w:pPr>
    <w:rPr>
      <w:rFonts w:ascii="Calibri" w:eastAsia="Calibri" w:hAnsi="Calibri"/>
      <w:color w:val="5A5A5A"/>
      <w:spacing w:val="15"/>
    </w:rPr>
  </w:style>
  <w:style w:type="character" w:customStyle="1" w:styleId="SubtitleChar">
    <w:name w:val="Subtitle Char"/>
    <w:basedOn w:val="DefaultParagraphFont"/>
    <w:link w:val="Subtitle"/>
    <w:uiPriority w:val="11"/>
    <w:rsid w:val="00FE37DB"/>
    <w:rPr>
      <w:rFonts w:eastAsia="Calibri"/>
      <w:color w:val="5A5A5A"/>
      <w:spacing w:val="15"/>
    </w:rPr>
  </w:style>
  <w:style w:type="table" w:customStyle="1" w:styleId="TableGrid11">
    <w:name w:val="Table Grid11"/>
    <w:basedOn w:val="TableNormal"/>
    <w:next w:val="TableGrid"/>
    <w:uiPriority w:val="39"/>
    <w:rsid w:val="00FE37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leReference1">
    <w:name w:val="Subtle Reference1"/>
    <w:basedOn w:val="DefaultParagraphFont"/>
    <w:uiPriority w:val="31"/>
    <w:qFormat/>
    <w:rsid w:val="00FE37DB"/>
    <w:rPr>
      <w:smallCaps/>
      <w:color w:val="5A5A5A"/>
    </w:rPr>
  </w:style>
  <w:style w:type="table" w:customStyle="1" w:styleId="TableGrid21">
    <w:name w:val="Table Grid21"/>
    <w:basedOn w:val="TableNormal"/>
    <w:next w:val="TableGrid"/>
    <w:uiPriority w:val="39"/>
    <w:rsid w:val="00FE37DB"/>
    <w:pPr>
      <w:spacing w:before="40" w:after="40" w:line="240" w:lineRule="auto"/>
    </w:pPr>
    <w:rPr>
      <w:rFonts w:ascii="Times New Roman" w:eastAsia="Times New Roman" w:hAnsi="Times New Roman"/>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Pr>
  </w:style>
  <w:style w:type="table" w:customStyle="1" w:styleId="TableGrid3">
    <w:name w:val="Table Grid3"/>
    <w:basedOn w:val="TableNormal"/>
    <w:next w:val="TableGrid"/>
    <w:uiPriority w:val="39"/>
    <w:rsid w:val="00FE37DB"/>
    <w:pPr>
      <w:spacing w:before="40" w:after="40" w:line="240" w:lineRule="auto"/>
    </w:pPr>
    <w:rPr>
      <w:rFonts w:ascii="Times New Roman" w:eastAsia="Times New Roman" w:hAnsi="Times New Roman"/>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Pr>
  </w:style>
  <w:style w:type="table" w:customStyle="1" w:styleId="TableGrid4">
    <w:name w:val="Table Grid4"/>
    <w:basedOn w:val="TableNormal"/>
    <w:next w:val="TableGrid"/>
    <w:uiPriority w:val="39"/>
    <w:rsid w:val="00FE37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FE37DB"/>
    <w:pPr>
      <w:spacing w:before="40" w:after="40" w:line="240" w:lineRule="auto"/>
    </w:pPr>
    <w:rPr>
      <w:rFonts w:ascii="Times New Roman" w:eastAsia="Times New Roman" w:hAnsi="Times New Roman"/>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Pr>
  </w:style>
  <w:style w:type="paragraph" w:customStyle="1" w:styleId="TOCHeading1">
    <w:name w:val="TOC Heading1"/>
    <w:basedOn w:val="Heading1"/>
    <w:next w:val="Normal"/>
    <w:uiPriority w:val="39"/>
    <w:unhideWhenUsed/>
    <w:qFormat/>
    <w:rsid w:val="00FE37DB"/>
    <w:pPr>
      <w:numPr>
        <w:ilvl w:val="0"/>
        <w:numId w:val="0"/>
      </w:numPr>
      <w:spacing w:before="240" w:line="259" w:lineRule="auto"/>
      <w:jc w:val="left"/>
      <w:outlineLvl w:val="9"/>
    </w:pPr>
    <w:rPr>
      <w:rFonts w:ascii="Calibri Light" w:hAnsi="Calibri Light"/>
      <w:b w:val="0"/>
      <w:bCs w:val="0"/>
      <w:color w:val="2F5496"/>
      <w:sz w:val="32"/>
      <w:szCs w:val="32"/>
      <w:lang w:val="en-US"/>
    </w:rPr>
  </w:style>
  <w:style w:type="paragraph" w:customStyle="1" w:styleId="TOC11">
    <w:name w:val="TOC 11"/>
    <w:basedOn w:val="Normal"/>
    <w:next w:val="Normal"/>
    <w:autoRedefine/>
    <w:uiPriority w:val="39"/>
    <w:unhideWhenUsed/>
    <w:rsid w:val="00FE37DB"/>
    <w:pPr>
      <w:spacing w:before="120" w:after="100"/>
    </w:pPr>
    <w:rPr>
      <w:rFonts w:ascii="Calibri" w:hAnsi="Calibri"/>
    </w:rPr>
  </w:style>
  <w:style w:type="paragraph" w:customStyle="1" w:styleId="TOC21">
    <w:name w:val="TOC 21"/>
    <w:basedOn w:val="Normal"/>
    <w:next w:val="Normal"/>
    <w:autoRedefine/>
    <w:uiPriority w:val="39"/>
    <w:unhideWhenUsed/>
    <w:rsid w:val="00FE37DB"/>
    <w:pPr>
      <w:spacing w:before="120" w:after="100"/>
      <w:ind w:left="220"/>
    </w:pPr>
    <w:rPr>
      <w:rFonts w:ascii="Calibri" w:hAnsi="Calibri"/>
    </w:rPr>
  </w:style>
  <w:style w:type="table" w:customStyle="1" w:styleId="TableGrid23">
    <w:name w:val="Table Grid23"/>
    <w:basedOn w:val="TableNormal"/>
    <w:next w:val="TableGrid"/>
    <w:uiPriority w:val="39"/>
    <w:rsid w:val="00FE37DB"/>
    <w:pPr>
      <w:spacing w:before="40" w:after="40" w:line="240" w:lineRule="auto"/>
    </w:pPr>
    <w:rPr>
      <w:rFonts w:ascii="Times New Roman" w:eastAsia="Times New Roman" w:hAnsi="Times New Roman"/>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Pr>
  </w:style>
  <w:style w:type="table" w:customStyle="1" w:styleId="TableGrid5">
    <w:name w:val="Table Grid5"/>
    <w:basedOn w:val="TableNormal"/>
    <w:next w:val="TableGrid"/>
    <w:uiPriority w:val="39"/>
    <w:rsid w:val="00FE37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er1">
    <w:name w:val="Header1"/>
    <w:basedOn w:val="Normal"/>
    <w:next w:val="Header"/>
    <w:link w:val="HeaderChar"/>
    <w:uiPriority w:val="99"/>
    <w:unhideWhenUsed/>
    <w:rsid w:val="00FE37DB"/>
    <w:pPr>
      <w:tabs>
        <w:tab w:val="center" w:pos="4513"/>
        <w:tab w:val="right" w:pos="9026"/>
      </w:tabs>
      <w:spacing w:after="0" w:line="240" w:lineRule="auto"/>
    </w:pPr>
    <w:rPr>
      <w:rFonts w:asciiTheme="minorHAnsi" w:hAnsiTheme="minorHAnsi"/>
    </w:rPr>
  </w:style>
  <w:style w:type="character" w:customStyle="1" w:styleId="HeaderChar">
    <w:name w:val="Header Char"/>
    <w:basedOn w:val="DefaultParagraphFont"/>
    <w:link w:val="Header1"/>
    <w:uiPriority w:val="99"/>
    <w:rsid w:val="00FE37DB"/>
  </w:style>
  <w:style w:type="paragraph" w:customStyle="1" w:styleId="Footer1">
    <w:name w:val="Footer1"/>
    <w:basedOn w:val="Normal"/>
    <w:next w:val="Footer"/>
    <w:link w:val="FooterChar"/>
    <w:uiPriority w:val="99"/>
    <w:unhideWhenUsed/>
    <w:rsid w:val="00FE37DB"/>
    <w:pPr>
      <w:tabs>
        <w:tab w:val="center" w:pos="4513"/>
        <w:tab w:val="right" w:pos="9026"/>
      </w:tabs>
      <w:spacing w:after="0" w:line="240" w:lineRule="auto"/>
    </w:pPr>
    <w:rPr>
      <w:rFonts w:asciiTheme="minorHAnsi" w:hAnsiTheme="minorHAnsi"/>
    </w:rPr>
  </w:style>
  <w:style w:type="character" w:customStyle="1" w:styleId="FooterChar">
    <w:name w:val="Footer Char"/>
    <w:basedOn w:val="DefaultParagraphFont"/>
    <w:link w:val="Footer1"/>
    <w:uiPriority w:val="99"/>
    <w:rsid w:val="00FE37DB"/>
  </w:style>
  <w:style w:type="paragraph" w:customStyle="1" w:styleId="EndNoteBibliographyTitle">
    <w:name w:val="EndNote Bibliography Title"/>
    <w:basedOn w:val="Normal"/>
    <w:link w:val="EndNoteBibliographyTitleChar"/>
    <w:rsid w:val="00FE37DB"/>
    <w:pPr>
      <w:spacing w:before="120" w:after="0"/>
      <w:jc w:val="center"/>
    </w:pPr>
    <w:rPr>
      <w:rFonts w:ascii="Calibri" w:hAnsi="Calibri" w:cs="Calibri"/>
      <w:noProof/>
      <w:sz w:val="18"/>
      <w:lang w:val="en-US"/>
    </w:rPr>
  </w:style>
  <w:style w:type="character" w:customStyle="1" w:styleId="EndNoteBibliographyTitleChar">
    <w:name w:val="EndNote Bibliography Title Char"/>
    <w:basedOn w:val="DefaultParagraphFont"/>
    <w:link w:val="EndNoteBibliographyTitle"/>
    <w:rsid w:val="00FE37DB"/>
    <w:rPr>
      <w:rFonts w:ascii="Calibri" w:hAnsi="Calibri" w:cs="Calibri"/>
      <w:noProof/>
      <w:sz w:val="18"/>
      <w:lang w:val="en-US"/>
    </w:rPr>
  </w:style>
  <w:style w:type="paragraph" w:customStyle="1" w:styleId="EndNoteBibliography">
    <w:name w:val="EndNote Bibliography"/>
    <w:basedOn w:val="Normal"/>
    <w:link w:val="EndNoteBibliographyChar"/>
    <w:rsid w:val="00FE37DB"/>
    <w:pPr>
      <w:spacing w:before="120" w:after="120" w:line="240" w:lineRule="auto"/>
    </w:pPr>
    <w:rPr>
      <w:rFonts w:ascii="Calibri" w:hAnsi="Calibri" w:cs="Calibri"/>
      <w:noProof/>
      <w:sz w:val="18"/>
      <w:lang w:val="en-US"/>
    </w:rPr>
  </w:style>
  <w:style w:type="character" w:customStyle="1" w:styleId="EndNoteBibliographyChar">
    <w:name w:val="EndNote Bibliography Char"/>
    <w:basedOn w:val="DefaultParagraphFont"/>
    <w:link w:val="EndNoteBibliography"/>
    <w:rsid w:val="00FE37DB"/>
    <w:rPr>
      <w:rFonts w:ascii="Calibri" w:hAnsi="Calibri" w:cs="Calibri"/>
      <w:noProof/>
      <w:sz w:val="18"/>
      <w:lang w:val="en-US"/>
    </w:rPr>
  </w:style>
  <w:style w:type="character" w:customStyle="1" w:styleId="Heading3Char1">
    <w:name w:val="Heading 3 Char1"/>
    <w:basedOn w:val="DefaultParagraphFont"/>
    <w:uiPriority w:val="9"/>
    <w:semiHidden/>
    <w:rsid w:val="00FE37DB"/>
    <w:rPr>
      <w:rFonts w:asciiTheme="majorHAnsi" w:eastAsiaTheme="majorEastAsia" w:hAnsiTheme="majorHAnsi" w:cstheme="majorBidi"/>
      <w:color w:val="1F4D78" w:themeColor="accent1" w:themeShade="7F"/>
      <w:sz w:val="24"/>
      <w:szCs w:val="24"/>
    </w:rPr>
  </w:style>
  <w:style w:type="character" w:customStyle="1" w:styleId="Heading4Char1">
    <w:name w:val="Heading 4 Char1"/>
    <w:basedOn w:val="DefaultParagraphFont"/>
    <w:uiPriority w:val="9"/>
    <w:semiHidden/>
    <w:rsid w:val="00FE37DB"/>
    <w:rPr>
      <w:rFonts w:asciiTheme="majorHAnsi" w:eastAsiaTheme="majorEastAsia" w:hAnsiTheme="majorHAnsi" w:cstheme="majorBidi"/>
      <w:i/>
      <w:iCs/>
      <w:color w:val="2E74B5" w:themeColor="accent1" w:themeShade="BF"/>
    </w:rPr>
  </w:style>
  <w:style w:type="character" w:customStyle="1" w:styleId="Heading5Char1">
    <w:name w:val="Heading 5 Char1"/>
    <w:basedOn w:val="DefaultParagraphFont"/>
    <w:uiPriority w:val="9"/>
    <w:semiHidden/>
    <w:rsid w:val="00FE37DB"/>
    <w:rPr>
      <w:rFonts w:asciiTheme="majorHAnsi" w:eastAsiaTheme="majorEastAsia" w:hAnsiTheme="majorHAnsi" w:cstheme="majorBidi"/>
      <w:color w:val="2E74B5" w:themeColor="accent1" w:themeShade="BF"/>
    </w:rPr>
  </w:style>
  <w:style w:type="character" w:customStyle="1" w:styleId="Heading6Char1">
    <w:name w:val="Heading 6 Char1"/>
    <w:basedOn w:val="DefaultParagraphFont"/>
    <w:uiPriority w:val="9"/>
    <w:semiHidden/>
    <w:rsid w:val="00FE37DB"/>
    <w:rPr>
      <w:rFonts w:asciiTheme="majorHAnsi" w:eastAsiaTheme="majorEastAsia" w:hAnsiTheme="majorHAnsi" w:cstheme="majorBidi"/>
      <w:color w:val="1F4D78" w:themeColor="accent1" w:themeShade="7F"/>
    </w:rPr>
  </w:style>
  <w:style w:type="paragraph" w:styleId="Title">
    <w:name w:val="Title"/>
    <w:basedOn w:val="Normal"/>
    <w:next w:val="Normal"/>
    <w:link w:val="TitleChar"/>
    <w:uiPriority w:val="10"/>
    <w:qFormat/>
    <w:rsid w:val="00FE37DB"/>
    <w:pPr>
      <w:spacing w:after="0" w:line="240" w:lineRule="auto"/>
      <w:contextualSpacing/>
    </w:pPr>
    <w:rPr>
      <w:rFonts w:ascii="Calibri Light" w:eastAsia="Calibri Light" w:hAnsi="Calibri Light" w:cs="Times New Roman"/>
      <w:spacing w:val="-10"/>
      <w:kern w:val="28"/>
      <w:sz w:val="36"/>
      <w:szCs w:val="36"/>
    </w:rPr>
  </w:style>
  <w:style w:type="character" w:customStyle="1" w:styleId="TitleChar1">
    <w:name w:val="Title Char1"/>
    <w:basedOn w:val="DefaultParagraphFont"/>
    <w:uiPriority w:val="10"/>
    <w:rsid w:val="00FE37DB"/>
    <w:rPr>
      <w:rFonts w:asciiTheme="majorHAnsi" w:eastAsiaTheme="majorEastAsia" w:hAnsiTheme="majorHAnsi" w:cstheme="majorBidi"/>
      <w:spacing w:val="-10"/>
      <w:kern w:val="28"/>
      <w:sz w:val="56"/>
      <w:szCs w:val="56"/>
    </w:rPr>
  </w:style>
  <w:style w:type="character" w:styleId="Hyperlink">
    <w:name w:val="Hyperlink"/>
    <w:basedOn w:val="DefaultParagraphFont"/>
    <w:uiPriority w:val="99"/>
    <w:unhideWhenUsed/>
    <w:rsid w:val="00FE37DB"/>
    <w:rPr>
      <w:color w:val="0563C1" w:themeColor="hyperlink"/>
      <w:u w:val="single"/>
    </w:rPr>
  </w:style>
  <w:style w:type="character" w:styleId="FollowedHyperlink">
    <w:name w:val="FollowedHyperlink"/>
    <w:basedOn w:val="DefaultParagraphFont"/>
    <w:uiPriority w:val="99"/>
    <w:semiHidden/>
    <w:unhideWhenUsed/>
    <w:rsid w:val="00FE37DB"/>
    <w:rPr>
      <w:color w:val="954F72" w:themeColor="followedHyperlink"/>
      <w:u w:val="single"/>
    </w:rPr>
  </w:style>
  <w:style w:type="paragraph" w:styleId="Subtitle">
    <w:name w:val="Subtitle"/>
    <w:basedOn w:val="Normal"/>
    <w:next w:val="Normal"/>
    <w:link w:val="SubtitleChar"/>
    <w:uiPriority w:val="11"/>
    <w:qFormat/>
    <w:rsid w:val="00FE37DB"/>
    <w:pPr>
      <w:numPr>
        <w:ilvl w:val="1"/>
      </w:numPr>
      <w:spacing w:after="160"/>
    </w:pPr>
    <w:rPr>
      <w:rFonts w:asciiTheme="minorHAnsi" w:eastAsia="Calibri" w:hAnsiTheme="minorHAnsi"/>
      <w:color w:val="5A5A5A"/>
      <w:spacing w:val="15"/>
    </w:rPr>
  </w:style>
  <w:style w:type="character" w:customStyle="1" w:styleId="SubtitleChar1">
    <w:name w:val="Subtitle Char1"/>
    <w:basedOn w:val="DefaultParagraphFont"/>
    <w:uiPriority w:val="11"/>
    <w:rsid w:val="00FE37DB"/>
    <w:rPr>
      <w:rFonts w:eastAsiaTheme="minorEastAsia"/>
      <w:color w:val="5A5A5A" w:themeColor="text1" w:themeTint="A5"/>
      <w:spacing w:val="15"/>
    </w:rPr>
  </w:style>
  <w:style w:type="character" w:styleId="SubtleReference">
    <w:name w:val="Subtle Reference"/>
    <w:basedOn w:val="DefaultParagraphFont"/>
    <w:uiPriority w:val="31"/>
    <w:qFormat/>
    <w:rsid w:val="00FE37DB"/>
    <w:rPr>
      <w:smallCaps/>
      <w:color w:val="5A5A5A" w:themeColor="text1" w:themeTint="A5"/>
    </w:rPr>
  </w:style>
  <w:style w:type="paragraph" w:styleId="Header">
    <w:name w:val="header"/>
    <w:basedOn w:val="Normal"/>
    <w:link w:val="HeaderChar1"/>
    <w:uiPriority w:val="99"/>
    <w:unhideWhenUsed/>
    <w:rsid w:val="00FE37DB"/>
    <w:pPr>
      <w:tabs>
        <w:tab w:val="center" w:pos="4513"/>
        <w:tab w:val="right" w:pos="9026"/>
      </w:tabs>
      <w:spacing w:after="0" w:line="240" w:lineRule="auto"/>
    </w:pPr>
  </w:style>
  <w:style w:type="character" w:customStyle="1" w:styleId="HeaderChar1">
    <w:name w:val="Header Char1"/>
    <w:basedOn w:val="DefaultParagraphFont"/>
    <w:link w:val="Header"/>
    <w:uiPriority w:val="99"/>
    <w:rsid w:val="00FE37DB"/>
    <w:rPr>
      <w:rFonts w:ascii="Arial" w:hAnsi="Arial"/>
    </w:rPr>
  </w:style>
  <w:style w:type="paragraph" w:styleId="Footer">
    <w:name w:val="footer"/>
    <w:basedOn w:val="Normal"/>
    <w:link w:val="FooterChar1"/>
    <w:uiPriority w:val="99"/>
    <w:unhideWhenUsed/>
    <w:rsid w:val="00FE37DB"/>
    <w:pPr>
      <w:tabs>
        <w:tab w:val="center" w:pos="4513"/>
        <w:tab w:val="right" w:pos="9026"/>
      </w:tabs>
      <w:spacing w:after="0" w:line="240" w:lineRule="auto"/>
    </w:pPr>
  </w:style>
  <w:style w:type="character" w:customStyle="1" w:styleId="FooterChar1">
    <w:name w:val="Footer Char1"/>
    <w:basedOn w:val="DefaultParagraphFont"/>
    <w:link w:val="Footer"/>
    <w:uiPriority w:val="99"/>
    <w:rsid w:val="00FE37DB"/>
    <w:rPr>
      <w:rFonts w:ascii="Arial" w:hAnsi="Arial"/>
    </w:rPr>
  </w:style>
  <w:style w:type="numbering" w:customStyle="1" w:styleId="NoList2">
    <w:name w:val="No List2"/>
    <w:next w:val="NoList"/>
    <w:uiPriority w:val="99"/>
    <w:semiHidden/>
    <w:unhideWhenUsed/>
    <w:rsid w:val="00FE37DB"/>
  </w:style>
  <w:style w:type="table" w:customStyle="1" w:styleId="TableGrid24">
    <w:name w:val="Table Grid24"/>
    <w:basedOn w:val="TableNormal"/>
    <w:next w:val="TableGrid"/>
    <w:uiPriority w:val="39"/>
    <w:rsid w:val="00FE37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FE37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FE37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39"/>
    <w:rsid w:val="00FE37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2">
    <w:name w:val="Caption2"/>
    <w:basedOn w:val="Normal"/>
    <w:next w:val="Normal"/>
    <w:uiPriority w:val="35"/>
    <w:unhideWhenUsed/>
    <w:qFormat/>
    <w:rsid w:val="00FE37DB"/>
    <w:pPr>
      <w:spacing w:line="240" w:lineRule="auto"/>
    </w:pPr>
    <w:rPr>
      <w:rFonts w:ascii="Calibri" w:hAnsi="Calibri"/>
      <w:i/>
      <w:iCs/>
      <w:color w:val="44546A"/>
      <w:sz w:val="18"/>
      <w:szCs w:val="18"/>
    </w:rPr>
  </w:style>
  <w:style w:type="table" w:customStyle="1" w:styleId="TableGrid41">
    <w:name w:val="Table Grid41"/>
    <w:basedOn w:val="TableNormal"/>
    <w:next w:val="TableGrid"/>
    <w:uiPriority w:val="39"/>
    <w:rsid w:val="00FE37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39"/>
    <w:rsid w:val="00FE37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39"/>
    <w:rsid w:val="00FE37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uiPriority w:val="39"/>
    <w:rsid w:val="00FE37DB"/>
    <w:pPr>
      <w:spacing w:before="40" w:after="40" w:line="240" w:lineRule="auto"/>
    </w:pPr>
    <w:rPr>
      <w:rFonts w:ascii="Times New Roman" w:eastAsia="Times New Roman" w:hAnsi="Times New Roman"/>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Pr>
  </w:style>
  <w:style w:type="character" w:customStyle="1" w:styleId="UnresolvedMention1">
    <w:name w:val="Unresolved Mention1"/>
    <w:basedOn w:val="DefaultParagraphFont"/>
    <w:uiPriority w:val="99"/>
    <w:semiHidden/>
    <w:unhideWhenUsed/>
    <w:rsid w:val="00FE37DB"/>
    <w:rPr>
      <w:color w:val="605E5C"/>
      <w:shd w:val="clear" w:color="auto" w:fill="E1DFDD"/>
    </w:rPr>
  </w:style>
  <w:style w:type="paragraph" w:customStyle="1" w:styleId="TOCHeading2">
    <w:name w:val="TOC Heading2"/>
    <w:basedOn w:val="Heading1"/>
    <w:next w:val="Normal"/>
    <w:uiPriority w:val="39"/>
    <w:unhideWhenUsed/>
    <w:qFormat/>
    <w:rsid w:val="00FE37DB"/>
    <w:pPr>
      <w:numPr>
        <w:ilvl w:val="0"/>
        <w:numId w:val="0"/>
      </w:numPr>
      <w:spacing w:before="240" w:line="259" w:lineRule="auto"/>
      <w:jc w:val="left"/>
      <w:outlineLvl w:val="9"/>
    </w:pPr>
    <w:rPr>
      <w:rFonts w:ascii="Calibri Light" w:hAnsi="Calibri Light"/>
      <w:b w:val="0"/>
      <w:bCs w:val="0"/>
      <w:color w:val="2F5496"/>
      <w:sz w:val="32"/>
      <w:szCs w:val="32"/>
      <w:lang w:val="en-US"/>
    </w:rPr>
  </w:style>
  <w:style w:type="paragraph" w:customStyle="1" w:styleId="TOC12">
    <w:name w:val="TOC 12"/>
    <w:basedOn w:val="Normal"/>
    <w:next w:val="Normal"/>
    <w:autoRedefine/>
    <w:uiPriority w:val="39"/>
    <w:unhideWhenUsed/>
    <w:rsid w:val="00FE37DB"/>
    <w:pPr>
      <w:spacing w:after="100" w:line="240" w:lineRule="auto"/>
    </w:pPr>
    <w:rPr>
      <w:rFonts w:ascii="Calibri" w:hAnsi="Calibri"/>
    </w:rPr>
  </w:style>
  <w:style w:type="paragraph" w:customStyle="1" w:styleId="TOC22">
    <w:name w:val="TOC 22"/>
    <w:basedOn w:val="Normal"/>
    <w:next w:val="Normal"/>
    <w:autoRedefine/>
    <w:uiPriority w:val="39"/>
    <w:unhideWhenUsed/>
    <w:rsid w:val="00FE37DB"/>
    <w:pPr>
      <w:spacing w:after="100" w:line="240" w:lineRule="auto"/>
      <w:ind w:left="220"/>
    </w:pPr>
    <w:rPr>
      <w:rFonts w:ascii="Calibri" w:hAnsi="Calibri"/>
    </w:rPr>
  </w:style>
  <w:style w:type="table" w:customStyle="1" w:styleId="TableGrid7">
    <w:name w:val="Table Grid7"/>
    <w:basedOn w:val="TableNormal"/>
    <w:next w:val="TableGrid"/>
    <w:uiPriority w:val="39"/>
    <w:rsid w:val="00FE37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31">
    <w:name w:val="TOC 31"/>
    <w:basedOn w:val="Normal"/>
    <w:next w:val="Normal"/>
    <w:autoRedefine/>
    <w:uiPriority w:val="39"/>
    <w:unhideWhenUsed/>
    <w:rsid w:val="00FE37DB"/>
    <w:pPr>
      <w:spacing w:after="100" w:line="240" w:lineRule="auto"/>
      <w:ind w:left="440"/>
    </w:pPr>
    <w:rPr>
      <w:rFonts w:ascii="Calibri" w:hAnsi="Calibri"/>
    </w:rPr>
  </w:style>
  <w:style w:type="table" w:customStyle="1" w:styleId="TableGrid8">
    <w:name w:val="Table Grid8"/>
    <w:basedOn w:val="TableNormal"/>
    <w:next w:val="TableGrid"/>
    <w:uiPriority w:val="39"/>
    <w:rsid w:val="00FE37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alendar2">
    <w:name w:val="Calendar 2"/>
    <w:basedOn w:val="TableNormal"/>
    <w:uiPriority w:val="99"/>
    <w:qFormat/>
    <w:rsid w:val="00FE37DB"/>
    <w:pPr>
      <w:spacing w:after="0" w:line="240" w:lineRule="auto"/>
      <w:jc w:val="center"/>
    </w:pPr>
    <w:rPr>
      <w:rFonts w:eastAsia="Calibri"/>
      <w:sz w:val="28"/>
      <w:szCs w:val="28"/>
      <w:lang w:val="en-US"/>
    </w:rPr>
    <w:tblPr>
      <w:tblBorders>
        <w:insideV w:val="single" w:sz="4" w:space="0" w:color="8EAADB"/>
      </w:tblBorders>
    </w:tblPr>
    <w:tblStylePr w:type="firstRow">
      <w:rPr>
        <w:rFonts w:ascii="Calibri Light" w:hAnsi="Calibri Light"/>
        <w:b w:val="0"/>
        <w:i w:val="0"/>
        <w:caps/>
        <w:smallCaps w:val="0"/>
        <w:color w:val="4472C4"/>
        <w:spacing w:val="20"/>
        <w:sz w:val="32"/>
      </w:rPr>
      <w:tblPr/>
      <w:tcPr>
        <w:tcBorders>
          <w:top w:val="nil"/>
          <w:left w:val="nil"/>
          <w:bottom w:val="nil"/>
          <w:right w:val="nil"/>
          <w:insideH w:val="nil"/>
          <w:insideV w:val="nil"/>
          <w:tl2br w:val="nil"/>
          <w:tr2bl w:val="nil"/>
        </w:tcBorders>
      </w:tcPr>
    </w:tblStylePr>
  </w:style>
  <w:style w:type="paragraph" w:customStyle="1" w:styleId="TableofFigures1">
    <w:name w:val="Table of Figures1"/>
    <w:basedOn w:val="Normal"/>
    <w:next w:val="Normal"/>
    <w:uiPriority w:val="99"/>
    <w:unhideWhenUsed/>
    <w:rsid w:val="00FE37DB"/>
    <w:pPr>
      <w:spacing w:after="0" w:line="240" w:lineRule="auto"/>
    </w:pPr>
    <w:rPr>
      <w:rFonts w:ascii="Calibri" w:hAnsi="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13.png"/><Relationship Id="rId7"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numbering" Target="numbering.xml"/><Relationship Id="rId15" Type="http://schemas.openxmlformats.org/officeDocument/2006/relationships/image" Target="media/image7.png"/><Relationship Id="rId23" Type="http://schemas.openxmlformats.org/officeDocument/2006/relationships/image" Target="media/image15.png"/><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customXml" Target="../customXml/item4.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598DBFF9BEE1D40AA8B6F2E5DB29297" ma:contentTypeVersion="13" ma:contentTypeDescription="Create a new document." ma:contentTypeScope="" ma:versionID="20275c463513d5550cf3bde3622a2c25">
  <xsd:schema xmlns:xsd="http://www.w3.org/2001/XMLSchema" xmlns:xs="http://www.w3.org/2001/XMLSchema" xmlns:p="http://schemas.microsoft.com/office/2006/metadata/properties" xmlns:ns2="c4e48567-5c38-4484-ab8d-ffc5a3dc364f" xmlns:ns3="3fb502d1-52de-4b0e-a93c-31d17443b865" targetNamespace="http://schemas.microsoft.com/office/2006/metadata/properties" ma:root="true" ma:fieldsID="7ac47de846a3f9d43e535ae8776cb7c8" ns2:_="" ns3:_="">
    <xsd:import namespace="c4e48567-5c38-4484-ab8d-ffc5a3dc364f"/>
    <xsd:import namespace="3fb502d1-52de-4b0e-a93c-31d17443b86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4e48567-5c38-4484-ab8d-ffc5a3dc364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76624216-d583-4636-a04d-17921d6eaf67"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fb502d1-52de-4b0e-a93c-31d17443b865"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40a6f155-8832-4ed5-8ab9-a724a518e40e}" ma:internalName="TaxCatchAll" ma:showField="CatchAllData" ma:web="3fb502d1-52de-4b0e-a93c-31d17443b86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c4e48567-5c38-4484-ab8d-ffc5a3dc364f">
      <Terms xmlns="http://schemas.microsoft.com/office/infopath/2007/PartnerControls"/>
    </lcf76f155ced4ddcb4097134ff3c332f>
    <TaxCatchAll xmlns="3fb502d1-52de-4b0e-a93c-31d17443b865" xsi:nil="true"/>
    <SharedWithUsers xmlns="3fb502d1-52de-4b0e-a93c-31d17443b865">
      <UserInfo>
        <DisplayName>William Evans</DisplayName>
        <AccountId>42</AccountId>
        <AccountType/>
      </UserInfo>
      <UserInfo>
        <DisplayName>William Evans (staff)</DisplayName>
        <AccountId>56</AccountId>
        <AccountType/>
      </UserInfo>
    </SharedWithUser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4EFFE7-8443-439A-9098-D92A005C2BCB}"/>
</file>

<file path=customXml/itemProps2.xml><?xml version="1.0" encoding="utf-8"?>
<ds:datastoreItem xmlns:ds="http://schemas.openxmlformats.org/officeDocument/2006/customXml" ds:itemID="{0AC9114F-6153-4E4F-9C17-E5AAE8E8E22B}">
  <ds:schemaRefs>
    <ds:schemaRef ds:uri="http://schemas.microsoft.com/sharepoint/v3/contenttype/forms"/>
  </ds:schemaRefs>
</ds:datastoreItem>
</file>

<file path=customXml/itemProps3.xml><?xml version="1.0" encoding="utf-8"?>
<ds:datastoreItem xmlns:ds="http://schemas.openxmlformats.org/officeDocument/2006/customXml" ds:itemID="{6DFFD25F-F466-4092-BA37-CDD1D83C471B}">
  <ds:schemaRefs>
    <ds:schemaRef ds:uri="http://purl.org/dc/elements/1.1/"/>
    <ds:schemaRef ds:uri="http://schemas.microsoft.com/office/2006/metadata/properties"/>
    <ds:schemaRef ds:uri="http://purl.org/dc/terms/"/>
    <ds:schemaRef ds:uri="http://schemas.openxmlformats.org/package/2006/metadata/core-properties"/>
    <ds:schemaRef ds:uri="786e620f-b1da-4f59-878c-ef7546d25bf1"/>
    <ds:schemaRef ds:uri="http://schemas.microsoft.com/office/2006/documentManagement/types"/>
    <ds:schemaRef ds:uri="http://schemas.microsoft.com/office/infopath/2007/PartnerControls"/>
    <ds:schemaRef ds:uri="0c1e910d-4918-42f1-af2c-ed1101d63abc"/>
    <ds:schemaRef ds:uri="http://www.w3.org/XML/1998/namespace"/>
    <ds:schemaRef ds:uri="http://purl.org/dc/dcmitype/"/>
  </ds:schemaRefs>
</ds:datastoreItem>
</file>

<file path=customXml/itemProps4.xml><?xml version="1.0" encoding="utf-8"?>
<ds:datastoreItem xmlns:ds="http://schemas.openxmlformats.org/officeDocument/2006/customXml" ds:itemID="{854D6A2F-8C58-4EBC-81B8-70582F93FB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37</Pages>
  <Words>24303</Words>
  <Characters>138532</Characters>
  <Application>Microsoft Office Word</Application>
  <DocSecurity>0</DocSecurity>
  <Lines>1154</Lines>
  <Paragraphs>325</Paragraphs>
  <ScaleCrop>false</ScaleCrop>
  <HeadingPairs>
    <vt:vector size="4" baseType="variant">
      <vt:variant>
        <vt:lpstr>Title</vt:lpstr>
      </vt:variant>
      <vt:variant>
        <vt:i4>1</vt:i4>
      </vt:variant>
      <vt:variant>
        <vt:lpstr>Headings</vt:lpstr>
      </vt:variant>
      <vt:variant>
        <vt:i4>8</vt:i4>
      </vt:variant>
    </vt:vector>
  </HeadingPairs>
  <TitlesOfParts>
    <vt:vector size="9" baseType="lpstr">
      <vt:lpstr/>
      <vt:lpstr>Model structure</vt:lpstr>
      <vt:lpstr>Model inputs</vt:lpstr>
      <vt:lpstr>    Effect of diagnosis on cholesterol</vt:lpstr>
      <vt:lpstr>    Risk of first major cardiovascular event</vt:lpstr>
      <vt:lpstr>    Survival post-1st major cardiovascular event</vt:lpstr>
      <vt:lpstr>    Other inputs</vt:lpstr>
      <vt:lpstr>Scenario analysis</vt:lpstr>
      <vt:lpstr>    List of scenario analyses</vt:lpstr>
    </vt:vector>
  </TitlesOfParts>
  <Company>University of Nottingham</Company>
  <LinksUpToDate>false</LinksUpToDate>
  <CharactersWithSpaces>162510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Nadeem Qureshi (staff)</dc:creator>
  <cp:keywords/>
  <dc:description/>
  <cp:lastModifiedBy>Nadeem Qureshi (staff)</cp:lastModifiedBy>
  <cp:revision>1</cp:revision>
  <dcterms:created xsi:type="dcterms:W3CDTF">2022-06-26T08:08:00Z</dcterms:created>
  <dcterms:modified xsi:type="dcterms:W3CDTF">2022-06-26T08:09:00Z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0x0101007598DBFF9BEE1D40AA8B6F2E5DB29297</vt:lpwstr>
  </property>
</Properties>
</file>